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harts/style1.xml" ContentType="application/vnd.ms-office.chartstyle+xml"/>
  <Override PartName="/word/charts/colors1.xml" ContentType="application/vnd.ms-office.chartcolorstyle+xml"/>
  <Override PartName="/word/charts/style2.xml" ContentType="application/vnd.ms-office.chartstyle+xml"/>
  <Override PartName="/word/charts/colors2.xml" ContentType="application/vnd.ms-office.chartcolorstyle+xml"/>
  <Override PartName="/word/charts/style3.xml" ContentType="application/vnd.ms-office.chartstyle+xml"/>
  <Override PartName="/word/charts/colors3.xml" ContentType="application/vnd.ms-office.chartcolorstyle+xml"/>
  <Override PartName="/word/charts/style4.xml" ContentType="application/vnd.ms-office.chartstyle+xml"/>
  <Override PartName="/word/charts/colors4.xml" ContentType="application/vnd.ms-office.chartcolorstyle+xml"/>
  <Override PartName="/word/charts/style5.xml" ContentType="application/vnd.ms-office.chartstyle+xml"/>
  <Override PartName="/word/charts/colors5.xml" ContentType="application/vnd.ms-office.chartcolorstyle+xml"/>
  <Override PartName="/word/charts/style6.xml" ContentType="application/vnd.ms-office.chartstyle+xml"/>
  <Override PartName="/word/charts/colors6.xml" ContentType="application/vnd.ms-office.chartcolorstyle+xml"/>
  <Override PartName="/word/charts/style7.xml" ContentType="application/vnd.ms-office.chartstyle+xml"/>
  <Override PartName="/word/charts/colors7.xml" ContentType="application/vnd.ms-office.chartcolorstyle+xml"/>
  <Override PartName="/word/charts/style8.xml" ContentType="application/vnd.ms-office.chartstyle+xml"/>
  <Override PartName="/word/charts/colors8.xml" ContentType="application/vnd.ms-office.chartcolorstyle+xml"/>
  <Override PartName="/word/charts/style9.xml" ContentType="application/vnd.ms-office.chartstyle+xml"/>
  <Override PartName="/word/charts/colors9.xml" ContentType="application/vnd.ms-office.chartcolorstyle+xml"/>
  <Override PartName="/word/charts/style10.xml" ContentType="application/vnd.ms-office.chartstyle+xml"/>
  <Override PartName="/word/charts/colors10.xml" ContentType="application/vnd.ms-office.chartcolorstyle+xml"/>
  <Override PartName="/word/charts/style11.xml" ContentType="application/vnd.ms-office.chartstyle+xml"/>
  <Override PartName="/word/charts/colors11.xml" ContentType="application/vnd.ms-office.chartcolorstyle+xml"/>
  <Override PartName="/word/charts/style12.xml" ContentType="application/vnd.ms-office.chartstyle+xml"/>
  <Override PartName="/word/charts/colors12.xml" ContentType="application/vnd.ms-office.chartcolorstyle+xml"/>
  <Override PartName="/word/charts/style13.xml" ContentType="application/vnd.ms-office.chartstyle+xml"/>
  <Override PartName="/word/charts/colors13.xml" ContentType="application/vnd.ms-office.chartcolorstyle+xml"/>
  <Override PartName="/word/charts/style14.xml" ContentType="application/vnd.ms-office.chartstyle+xml"/>
  <Override PartName="/word/charts/colors14.xml" ContentType="application/vnd.ms-office.chartcolorstyle+xml"/>
  <Override PartName="/word/charts/style15.xml" ContentType="application/vnd.ms-office.chartstyle+xml"/>
  <Override PartName="/word/charts/colors15.xml" ContentType="application/vnd.ms-office.chartcolorstyle+xml"/>
  <Override PartName="/word/charts/style16.xml" ContentType="application/vnd.ms-office.chartstyle+xml"/>
  <Override PartName="/word/charts/colors16.xml" ContentType="application/vnd.ms-office.chartcolorstyle+xml"/>
  <Override PartName="/word/charts/style17.xml" ContentType="application/vnd.ms-office.chartstyle+xml"/>
  <Override PartName="/word/charts/colors17.xml" ContentType="application/vnd.ms-office.chartcolorstyle+xml"/>
  <Override PartName="/word/charts/style18.xml" ContentType="application/vnd.ms-office.chartstyle+xml"/>
  <Override PartName="/word/charts/colors18.xml" ContentType="application/vnd.ms-office.chartcolorstyle+xml"/>
  <Override PartName="/word/charts/style19.xml" ContentType="application/vnd.ms-office.chartstyle+xml"/>
  <Override PartName="/word/charts/colors19.xml" ContentType="application/vnd.ms-office.chartcolorstyle+xml"/>
  <Override PartName="/word/charts/style20.xml" ContentType="application/vnd.ms-office.chartstyle+xml"/>
  <Override PartName="/word/charts/colors20.xml" ContentType="application/vnd.ms-office.chartcolorstyle+xml"/>
  <Override PartName="/word/charts/style21.xml" ContentType="application/vnd.ms-office.chartstyle+xml"/>
  <Override PartName="/word/charts/colors21.xml" ContentType="application/vnd.ms-office.chartcolorstyle+xml"/>
  <Override PartName="/word/charts/style22.xml" ContentType="application/vnd.ms-office.chartstyle+xml"/>
  <Override PartName="/word/charts/colors22.xml" ContentType="application/vnd.ms-office.chartcolorstyle+xml"/>
  <Override PartName="/word/charts/style23.xml" ContentType="application/vnd.ms-office.chartstyle+xml"/>
  <Override PartName="/word/charts/colors23.xml" ContentType="application/vnd.ms-office.chartcolorstyle+xml"/>
  <Override PartName="/word/charts/style24.xml" ContentType="application/vnd.ms-office.chartstyle+xml"/>
  <Override PartName="/word/charts/colors24.xml" ContentType="application/vnd.ms-office.chartcolorstyle+xml"/>
  <Override PartName="/word/charts/style25.xml" ContentType="application/vnd.ms-office.chartstyle+xml"/>
  <Override PartName="/word/charts/colors25.xml" ContentType="application/vnd.ms-office.chartcolorstyle+xml"/>
  <Override PartName="/word/charts/style26.xml" ContentType="application/vnd.ms-office.chartstyle+xml"/>
  <Override PartName="/word/charts/colors26.xml" ContentType="application/vnd.ms-office.chartcolorstyle+xml"/>
  <Override PartName="/word/charts/style27.xml" ContentType="application/vnd.ms-office.chartstyle+xml"/>
  <Override PartName="/word/charts/colors27.xml" ContentType="application/vnd.ms-office.chartcolorstyle+xml"/>
  <Override PartName="/word/charts/style28.xml" ContentType="application/vnd.ms-office.chartstyle+xml"/>
  <Override PartName="/word/charts/colors28.xml" ContentType="application/vnd.ms-office.chartcolorstyle+xml"/>
  <Override PartName="/word/charts/style29.xml" ContentType="application/vnd.ms-office.chartstyle+xml"/>
  <Override PartName="/word/charts/colors29.xml" ContentType="application/vnd.ms-office.chartcolorstyle+xml"/>
  <Override PartName="/word/charts/style30.xml" ContentType="application/vnd.ms-office.chartstyle+xml"/>
  <Override PartName="/word/charts/colors30.xml" ContentType="application/vnd.ms-office.chartcolorstyle+xml"/>
  <Override PartName="/word/charts/style31.xml" ContentType="application/vnd.ms-office.chartstyle+xml"/>
  <Override PartName="/word/charts/colors31.xml" ContentType="application/vnd.ms-office.chartcolorstyle+xml"/>
  <Override PartName="/word/charts/style32.xml" ContentType="application/vnd.ms-office.chartstyle+xml"/>
  <Override PartName="/word/charts/colors32.xml" ContentType="application/vnd.ms-office.chartcolorstyle+xml"/>
  <Override PartName="/word/charts/style33.xml" ContentType="application/vnd.ms-office.chartstyle+xml"/>
  <Override PartName="/word/charts/colors33.xml" ContentType="application/vnd.ms-office.chartcolorstyle+xml"/>
  <Override PartName="/word/charts/style34.xml" ContentType="application/vnd.ms-office.chartstyle+xml"/>
  <Override PartName="/word/charts/colors34.xml" ContentType="application/vnd.ms-office.chartcolorstyle+xml"/>
  <Override PartName="/word/charts/style35.xml" ContentType="application/vnd.ms-office.chartstyle+xml"/>
  <Override PartName="/word/charts/colors35.xml" ContentType="application/vnd.ms-office.chartcolorstyle+xml"/>
  <Override PartName="/word/charts/style36.xml" ContentType="application/vnd.ms-office.chartstyle+xml"/>
  <Override PartName="/word/charts/colors36.xml" ContentType="application/vnd.ms-office.chartcolorstyle+xml"/>
  <Override PartName="/word/charts/style37.xml" ContentType="application/vnd.ms-office.chartstyle+xml"/>
  <Override PartName="/word/charts/colors37.xml" ContentType="application/vnd.ms-office.chartcolorstyle+xml"/>
  <Override PartName="/word/charts/style38.xml" ContentType="application/vnd.ms-office.chartstyle+xml"/>
  <Override PartName="/word/charts/colors38.xml" ContentType="application/vnd.ms-office.chartcolorstyle+xml"/>
  <Override PartName="/word/charts/style39.xml" ContentType="application/vnd.ms-office.chartstyle+xml"/>
  <Override PartName="/word/charts/colors39.xml" ContentType="application/vnd.ms-office.chartcolorstyle+xml"/>
  <Override PartName="/word/charts/style40.xml" ContentType="application/vnd.ms-office.chartstyle+xml"/>
  <Override PartName="/word/charts/colors40.xml" ContentType="application/vnd.ms-office.chartcolorstyle+xml"/>
  <Override PartName="/word/charts/style41.xml" ContentType="application/vnd.ms-office.chartstyle+xml"/>
  <Override PartName="/word/charts/colors41.xml" ContentType="application/vnd.ms-office.chartcolorstyle+xml"/>
  <Override PartName="/word/charts/style42.xml" ContentType="application/vnd.ms-office.chartstyle+xml"/>
  <Override PartName="/word/charts/colors42.xml" ContentType="application/vnd.ms-office.chartcolorstyle+xml"/>
  <Override PartName="/word/charts/style43.xml" ContentType="application/vnd.ms-office.chartstyle+xml"/>
  <Override PartName="/word/charts/colors43.xml" ContentType="application/vnd.ms-office.chartcolorstyle+xml"/>
  <Override PartName="/word/charts/style44.xml" ContentType="application/vnd.ms-office.chartstyle+xml"/>
  <Override PartName="/word/charts/colors44.xml" ContentType="application/vnd.ms-office.chartcolorstyle+xml"/>
  <Override PartName="/word/charts/style45.xml" ContentType="application/vnd.ms-office.chartstyle+xml"/>
  <Override PartName="/word/charts/colors45.xml" ContentType="application/vnd.ms-office.chartcolorstyle+xml"/>
  <Override PartName="/word/charts/style46.xml" ContentType="application/vnd.ms-office.chartstyle+xml"/>
  <Override PartName="/word/charts/colors46.xml" ContentType="application/vnd.ms-office.chartcolorstyle+xml"/>
  <Override PartName="/word/charts/style47.xml" ContentType="application/vnd.ms-office.chartstyle+xml"/>
  <Override PartName="/word/charts/colors47.xml" ContentType="application/vnd.ms-office.chartcolorstyle+xml"/>
  <Override PartName="/word/charts/style48.xml" ContentType="application/vnd.ms-office.chartstyle+xml"/>
  <Override PartName="/word/charts/colors48.xml" ContentType="application/vnd.ms-office.chartcolorstyle+xml"/>
  <Override PartName="/word/charts/style49.xml" ContentType="application/vnd.ms-office.chartstyle+xml"/>
  <Override PartName="/word/charts/colors49.xml" ContentType="application/vnd.ms-office.chartcolor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B0F877" w14:textId="590A0E43" w:rsidR="00F051D3" w:rsidRDefault="00CC7CED" w:rsidP="00C05073">
      <w:pPr>
        <w:pStyle w:val="Sinespaciado"/>
      </w:pPr>
      <w:r>
        <w:rPr>
          <w:noProof/>
          <w:lang w:val="es-ES" w:eastAsia="es-ES"/>
        </w:rPr>
        <w:drawing>
          <wp:anchor distT="0" distB="0" distL="114300" distR="114300" simplePos="0" relativeHeight="251659264" behindDoc="0" locked="0" layoutInCell="1" allowOverlap="1" wp14:anchorId="45222200" wp14:editId="5BA6322F">
            <wp:simplePos x="0" y="0"/>
            <wp:positionH relativeFrom="column">
              <wp:posOffset>-938258</wp:posOffset>
            </wp:positionH>
            <wp:positionV relativeFrom="paragraph">
              <wp:posOffset>-341358</wp:posOffset>
            </wp:positionV>
            <wp:extent cx="2188210" cy="1295400"/>
            <wp:effectExtent l="0" t="0" r="2540" b="0"/>
            <wp:wrapNone/>
            <wp:docPr id="1183748058" name="Imagen 1" descr="Gobierno de la republica dominicana Logo PNG Vector (AI)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12" cstate="email">
                      <a:extLst>
                        <a:ext uri="{28A0092B-C50C-407E-A947-70E740481C1C}">
                          <a14:useLocalDpi xmlns:a14="http://schemas.microsoft.com/office/drawing/2010/main"/>
                        </a:ext>
                      </a:extLst>
                    </a:blip>
                    <a:stretch>
                      <a:fillRect/>
                    </a:stretch>
                  </pic:blipFill>
                  <pic:spPr bwMode="auto">
                    <a:xfrm>
                      <a:off x="0" y="0"/>
                      <a:ext cx="2188210" cy="1295400"/>
                    </a:xfrm>
                    <a:prstGeom prst="rect">
                      <a:avLst/>
                    </a:prstGeom>
                    <a:noFill/>
                    <a:ln>
                      <a:noFill/>
                    </a:ln>
                  </pic:spPr>
                </pic:pic>
              </a:graphicData>
            </a:graphic>
          </wp:anchor>
        </w:drawing>
      </w:r>
      <w:r>
        <w:rPr>
          <w:noProof/>
          <w:lang w:val="es-ES" w:eastAsia="es-ES"/>
        </w:rPr>
        <w:drawing>
          <wp:anchor distT="0" distB="0" distL="114300" distR="114300" simplePos="0" relativeHeight="251658240" behindDoc="0" locked="0" layoutInCell="1" allowOverlap="1" wp14:anchorId="0088C819" wp14:editId="02B7AE4B">
            <wp:simplePos x="0" y="0"/>
            <wp:positionH relativeFrom="page">
              <wp:posOffset>5104793</wp:posOffset>
            </wp:positionH>
            <wp:positionV relativeFrom="paragraph">
              <wp:posOffset>-417558</wp:posOffset>
            </wp:positionV>
            <wp:extent cx="2657265" cy="1426029"/>
            <wp:effectExtent l="0" t="0" r="0" b="3175"/>
            <wp:wrapNone/>
            <wp:docPr id="1421303111" name="Imagen 3" descr="Ministerio de Relaciones Exteriores República Dominic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13">
                      <a:extLst>
                        <a:ext uri="{28A0092B-C50C-407E-A947-70E740481C1C}">
                          <a14:useLocalDpi xmlns:a14="http://schemas.microsoft.com/office/drawing/2010/main"/>
                        </a:ext>
                      </a:extLst>
                    </a:blip>
                    <a:stretch>
                      <a:fillRect/>
                    </a:stretch>
                  </pic:blipFill>
                  <pic:spPr bwMode="auto">
                    <a:xfrm>
                      <a:off x="0" y="0"/>
                      <a:ext cx="2663543" cy="14293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740BC">
        <w:pict w14:anchorId="7BBE6047">
          <v:rect id="_x0000_i1025" style="width:396.15pt;height:.05pt;flip:y" o:hrpct="976" o:hralign="center" o:hrstd="t" o:hrnoshade="t" o:hr="t" fillcolor="#5a5a5a [2109]" stroked="f"/>
        </w:pict>
      </w:r>
    </w:p>
    <w:p w14:paraId="0D10D2F1" w14:textId="77777777" w:rsidR="00CC7CED" w:rsidRDefault="00CC7CED" w:rsidP="00EC51C9">
      <w:pPr>
        <w:ind w:left="720"/>
        <w:jc w:val="center"/>
        <w:rPr>
          <w:sz w:val="50"/>
          <w:szCs w:val="50"/>
          <w:lang w:val="es-ES"/>
        </w:rPr>
      </w:pPr>
    </w:p>
    <w:p w14:paraId="18C64DEC" w14:textId="77777777" w:rsidR="00CC7CED" w:rsidRDefault="00CC7CED" w:rsidP="00EC51C9">
      <w:pPr>
        <w:ind w:left="720"/>
        <w:jc w:val="center"/>
        <w:rPr>
          <w:sz w:val="50"/>
          <w:szCs w:val="50"/>
          <w:lang w:val="es-ES"/>
        </w:rPr>
      </w:pPr>
    </w:p>
    <w:p w14:paraId="66D378A9" w14:textId="367EC7B6" w:rsidR="00EC51C9" w:rsidRDefault="00EC51C9" w:rsidP="00EC51C9">
      <w:pPr>
        <w:ind w:left="720"/>
        <w:jc w:val="center"/>
        <w:rPr>
          <w:sz w:val="50"/>
          <w:szCs w:val="50"/>
          <w:lang w:val="es-ES"/>
        </w:rPr>
      </w:pPr>
      <w:r w:rsidRPr="00EC51C9">
        <w:rPr>
          <w:noProof/>
          <w:sz w:val="50"/>
          <w:szCs w:val="50"/>
          <w:lang w:val="es-ES" w:eastAsia="es-ES"/>
        </w:rPr>
        <w:drawing>
          <wp:inline distT="0" distB="0" distL="0" distR="0" wp14:anchorId="340948B3" wp14:editId="21C90893">
            <wp:extent cx="1543050" cy="1447800"/>
            <wp:effectExtent l="0" t="0" r="0" b="0"/>
            <wp:docPr id="3016560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43050" cy="1447800"/>
                    </a:xfrm>
                    <a:prstGeom prst="rect">
                      <a:avLst/>
                    </a:prstGeom>
                    <a:noFill/>
                    <a:ln>
                      <a:noFill/>
                    </a:ln>
                  </pic:spPr>
                </pic:pic>
              </a:graphicData>
            </a:graphic>
          </wp:inline>
        </w:drawing>
      </w:r>
    </w:p>
    <w:p w14:paraId="0FAECAC8" w14:textId="51CE9E05" w:rsidR="00F051D3" w:rsidRPr="001A6657" w:rsidRDefault="1008C1ED" w:rsidP="00E51AF8">
      <w:pPr>
        <w:jc w:val="center"/>
        <w:rPr>
          <w:sz w:val="50"/>
          <w:szCs w:val="50"/>
          <w:lang w:val="es-ES"/>
        </w:rPr>
      </w:pPr>
      <w:r w:rsidRPr="001A6657">
        <w:rPr>
          <w:sz w:val="50"/>
          <w:szCs w:val="50"/>
          <w:lang w:val="es-ES"/>
        </w:rPr>
        <w:t>DIRECCION GENERAL DE PASAPORTES</w:t>
      </w:r>
      <w:bookmarkStart w:id="0" w:name="_GoBack"/>
      <w:bookmarkEnd w:id="0"/>
    </w:p>
    <w:p w14:paraId="1999439D" w14:textId="77777777" w:rsidR="00F051D3" w:rsidRPr="001A6657" w:rsidRDefault="00F051D3" w:rsidP="00F051D3">
      <w:pPr>
        <w:ind w:left="720"/>
        <w:jc w:val="center"/>
        <w:rPr>
          <w:sz w:val="50"/>
          <w:szCs w:val="50"/>
          <w:lang w:val="es-ES"/>
        </w:rPr>
      </w:pPr>
    </w:p>
    <w:p w14:paraId="3B288E22" w14:textId="0E9E4643" w:rsidR="00F051D3" w:rsidRPr="00F051D3" w:rsidRDefault="00F051D3" w:rsidP="00F051D3">
      <w:pPr>
        <w:pStyle w:val="NormalWeb"/>
        <w:jc w:val="center"/>
        <w:rPr>
          <w:rFonts w:asciiTheme="minorHAnsi" w:eastAsiaTheme="minorHAnsi" w:hAnsiTheme="minorHAnsi" w:cstheme="minorBidi"/>
          <w:kern w:val="2"/>
          <w:sz w:val="50"/>
          <w:szCs w:val="50"/>
          <w:lang w:val="es-ES"/>
          <w14:ligatures w14:val="standardContextual"/>
        </w:rPr>
      </w:pPr>
      <w:r w:rsidRPr="00F051D3">
        <w:rPr>
          <w:rFonts w:asciiTheme="minorHAnsi" w:eastAsiaTheme="minorHAnsi" w:hAnsiTheme="minorHAnsi" w:cstheme="minorBidi"/>
          <w:kern w:val="2"/>
          <w:sz w:val="50"/>
          <w:szCs w:val="50"/>
          <w:lang w:val="es-ES"/>
          <w14:ligatures w14:val="standardContextual"/>
        </w:rPr>
        <w:t xml:space="preserve">INFORME DE EVALUACIÓN DEL MES </w:t>
      </w:r>
      <w:r w:rsidR="00385438">
        <w:rPr>
          <w:rFonts w:asciiTheme="minorHAnsi" w:eastAsiaTheme="minorHAnsi" w:hAnsiTheme="minorHAnsi" w:cstheme="minorBidi"/>
          <w:kern w:val="2"/>
          <w:sz w:val="50"/>
          <w:szCs w:val="50"/>
          <w:lang w:val="es-ES"/>
          <w14:ligatures w14:val="standardContextual"/>
        </w:rPr>
        <w:t>OCTUBRE</w:t>
      </w:r>
      <w:r w:rsidRPr="00F051D3">
        <w:rPr>
          <w:rFonts w:asciiTheme="minorHAnsi" w:eastAsiaTheme="minorHAnsi" w:hAnsiTheme="minorHAnsi" w:cstheme="minorBidi"/>
          <w:kern w:val="2"/>
          <w:sz w:val="50"/>
          <w:szCs w:val="50"/>
          <w:lang w:val="es-ES"/>
          <w14:ligatures w14:val="standardContextual"/>
        </w:rPr>
        <w:t xml:space="preserve"> A </w:t>
      </w:r>
      <w:r w:rsidR="00385438">
        <w:rPr>
          <w:rFonts w:asciiTheme="minorHAnsi" w:eastAsiaTheme="minorHAnsi" w:hAnsiTheme="minorHAnsi" w:cstheme="minorBidi"/>
          <w:kern w:val="2"/>
          <w:sz w:val="50"/>
          <w:szCs w:val="50"/>
          <w:lang w:val="es-ES"/>
          <w14:ligatures w14:val="standardContextual"/>
        </w:rPr>
        <w:t>DICIEMBRE</w:t>
      </w:r>
    </w:p>
    <w:p w14:paraId="1DE16FD7" w14:textId="58E9EA18" w:rsidR="00F051D3" w:rsidRPr="00B70CE0" w:rsidRDefault="00F051D3" w:rsidP="00F051D3">
      <w:pPr>
        <w:pStyle w:val="NormalWeb"/>
        <w:jc w:val="center"/>
        <w:rPr>
          <w:rFonts w:asciiTheme="minorHAnsi" w:eastAsiaTheme="minorHAnsi" w:hAnsiTheme="minorHAnsi" w:cstheme="minorBidi"/>
          <w:kern w:val="2"/>
          <w:sz w:val="50"/>
          <w:szCs w:val="50"/>
          <w:lang w:val="es-ES"/>
          <w14:ligatures w14:val="standardContextual"/>
        </w:rPr>
      </w:pPr>
      <w:r w:rsidRPr="00B70CE0">
        <w:rPr>
          <w:rFonts w:asciiTheme="minorHAnsi" w:eastAsiaTheme="minorHAnsi" w:hAnsiTheme="minorHAnsi" w:cstheme="minorBidi"/>
          <w:kern w:val="2"/>
          <w:sz w:val="50"/>
          <w:szCs w:val="50"/>
          <w:lang w:val="es-ES"/>
          <w14:ligatures w14:val="standardContextual"/>
        </w:rPr>
        <w:t>PLAN OPERATIVO ANUAL 202</w:t>
      </w:r>
      <w:r w:rsidR="007664C3">
        <w:rPr>
          <w:rFonts w:asciiTheme="minorHAnsi" w:eastAsiaTheme="minorHAnsi" w:hAnsiTheme="minorHAnsi" w:cstheme="minorBidi"/>
          <w:kern w:val="2"/>
          <w:sz w:val="50"/>
          <w:szCs w:val="50"/>
          <w:lang w:val="es-ES"/>
          <w14:ligatures w14:val="standardContextual"/>
        </w:rPr>
        <w:t>4</w:t>
      </w:r>
    </w:p>
    <w:p w14:paraId="24CE0594" w14:textId="77777777" w:rsidR="00F051D3" w:rsidRPr="00B70CE0" w:rsidRDefault="00F051D3" w:rsidP="00F051D3">
      <w:pPr>
        <w:ind w:left="720"/>
        <w:jc w:val="center"/>
        <w:rPr>
          <w:sz w:val="50"/>
          <w:szCs w:val="50"/>
          <w:lang w:val="es-ES"/>
        </w:rPr>
      </w:pPr>
    </w:p>
    <w:p w14:paraId="1C31903E" w14:textId="77777777" w:rsidR="001A6657" w:rsidRPr="00B70CE0" w:rsidRDefault="001A6657" w:rsidP="00B70CE0">
      <w:pPr>
        <w:rPr>
          <w:sz w:val="50"/>
          <w:szCs w:val="50"/>
          <w:lang w:val="es-ES"/>
        </w:rPr>
      </w:pPr>
    </w:p>
    <w:p w14:paraId="509AF9BF" w14:textId="06807BF3" w:rsidR="00B70CE0" w:rsidRPr="00B70CE0" w:rsidRDefault="00B70CE0" w:rsidP="003F56E2">
      <w:pPr>
        <w:spacing w:after="0" w:line="240" w:lineRule="auto"/>
        <w:ind w:left="1497" w:right="1398"/>
        <w:jc w:val="center"/>
        <w:rPr>
          <w:b/>
          <w:bCs/>
          <w:sz w:val="24"/>
          <w:szCs w:val="24"/>
          <w:lang w:val="es-ES"/>
        </w:rPr>
      </w:pPr>
      <w:r w:rsidRPr="00B70CE0">
        <w:rPr>
          <w:b/>
          <w:bCs/>
          <w:sz w:val="24"/>
          <w:szCs w:val="24"/>
          <w:lang w:val="es-ES"/>
        </w:rPr>
        <w:t>Elaborado:</w:t>
      </w:r>
    </w:p>
    <w:p w14:paraId="646BE6E2" w14:textId="77777777" w:rsidR="00B70CE0" w:rsidRPr="00B70CE0" w:rsidRDefault="00B70CE0" w:rsidP="003F56E2">
      <w:pPr>
        <w:spacing w:after="0" w:line="240" w:lineRule="auto"/>
        <w:ind w:left="1497" w:right="1375"/>
        <w:jc w:val="center"/>
        <w:rPr>
          <w:sz w:val="24"/>
          <w:szCs w:val="24"/>
          <w:lang w:val="es-ES"/>
        </w:rPr>
      </w:pPr>
      <w:r w:rsidRPr="00B70CE0">
        <w:rPr>
          <w:sz w:val="24"/>
          <w:szCs w:val="24"/>
          <w:lang w:val="es-ES"/>
        </w:rPr>
        <w:t>Dirección de Planificación y Desarrollo</w:t>
      </w:r>
    </w:p>
    <w:p w14:paraId="605FA304" w14:textId="77777777" w:rsidR="001A6657" w:rsidRDefault="001A6657" w:rsidP="00F051D3">
      <w:pPr>
        <w:ind w:left="720"/>
        <w:jc w:val="center"/>
        <w:rPr>
          <w:sz w:val="50"/>
          <w:szCs w:val="50"/>
          <w:lang w:val="es-ES"/>
        </w:rPr>
      </w:pPr>
    </w:p>
    <w:p w14:paraId="4E0D70A4" w14:textId="77777777" w:rsidR="003F56E2" w:rsidRDefault="003F56E2" w:rsidP="00F051D3">
      <w:pPr>
        <w:ind w:left="720"/>
        <w:jc w:val="center"/>
        <w:rPr>
          <w:sz w:val="50"/>
          <w:szCs w:val="50"/>
          <w:lang w:val="es-ES"/>
        </w:rPr>
      </w:pPr>
    </w:p>
    <w:p w14:paraId="37243017" w14:textId="77777777" w:rsidR="003F56E2" w:rsidRPr="00B70CE0" w:rsidRDefault="003F56E2" w:rsidP="00F051D3">
      <w:pPr>
        <w:ind w:left="720"/>
        <w:jc w:val="center"/>
        <w:rPr>
          <w:sz w:val="50"/>
          <w:szCs w:val="50"/>
          <w:lang w:val="es-ES"/>
        </w:rPr>
      </w:pPr>
    </w:p>
    <w:p w14:paraId="3F7893A3" w14:textId="0FD49242" w:rsidR="001A6657" w:rsidRPr="00B70CE0" w:rsidRDefault="001A6657" w:rsidP="003F56E2">
      <w:pPr>
        <w:spacing w:after="0" w:line="240" w:lineRule="auto"/>
        <w:ind w:left="1497" w:right="1400"/>
        <w:jc w:val="center"/>
        <w:rPr>
          <w:sz w:val="24"/>
          <w:szCs w:val="24"/>
          <w:lang w:val="es-ES"/>
        </w:rPr>
      </w:pPr>
      <w:r w:rsidRPr="00B70CE0">
        <w:rPr>
          <w:sz w:val="24"/>
          <w:szCs w:val="24"/>
          <w:lang w:val="es-ES"/>
        </w:rPr>
        <w:t>Santo Domingo, D.N.</w:t>
      </w:r>
    </w:p>
    <w:p w14:paraId="6ABEA7EC" w14:textId="7D2F5BEB" w:rsidR="00B70CE0" w:rsidRDefault="527B9CBA" w:rsidP="296ECA7C">
      <w:pPr>
        <w:spacing w:after="0" w:line="240" w:lineRule="auto"/>
        <w:ind w:left="360" w:right="1400"/>
        <w:jc w:val="center"/>
        <w:rPr>
          <w:sz w:val="24"/>
          <w:szCs w:val="24"/>
          <w:lang w:val="es-ES"/>
        </w:rPr>
      </w:pPr>
      <w:r w:rsidRPr="296ECA7C">
        <w:rPr>
          <w:sz w:val="24"/>
          <w:szCs w:val="24"/>
          <w:lang w:val="es-ES"/>
        </w:rPr>
        <w:t xml:space="preserve">                   </w:t>
      </w:r>
      <w:r w:rsidR="73194B08" w:rsidRPr="296ECA7C">
        <w:rPr>
          <w:sz w:val="24"/>
          <w:szCs w:val="24"/>
          <w:lang w:val="es-ES"/>
        </w:rPr>
        <w:t>0</w:t>
      </w:r>
      <w:r w:rsidR="00DF6241">
        <w:rPr>
          <w:sz w:val="24"/>
          <w:szCs w:val="24"/>
          <w:lang w:val="es-ES"/>
        </w:rPr>
        <w:t>7</w:t>
      </w:r>
      <w:r w:rsidRPr="296ECA7C">
        <w:rPr>
          <w:sz w:val="24"/>
          <w:szCs w:val="24"/>
          <w:lang w:val="es-ES"/>
        </w:rPr>
        <w:t xml:space="preserve"> d</w:t>
      </w:r>
      <w:r w:rsidR="297663FE" w:rsidRPr="296ECA7C">
        <w:rPr>
          <w:sz w:val="24"/>
          <w:szCs w:val="24"/>
          <w:lang w:val="es-ES"/>
        </w:rPr>
        <w:t xml:space="preserve">e </w:t>
      </w:r>
      <w:r w:rsidR="00DF6241">
        <w:rPr>
          <w:sz w:val="24"/>
          <w:szCs w:val="24"/>
          <w:lang w:val="es-ES"/>
        </w:rPr>
        <w:t>enero</w:t>
      </w:r>
      <w:r w:rsidR="297663FE" w:rsidRPr="296ECA7C">
        <w:rPr>
          <w:sz w:val="24"/>
          <w:szCs w:val="24"/>
          <w:lang w:val="es-ES"/>
        </w:rPr>
        <w:t xml:space="preserve"> 202</w:t>
      </w:r>
      <w:r w:rsidR="00DF6241">
        <w:rPr>
          <w:sz w:val="24"/>
          <w:szCs w:val="24"/>
          <w:lang w:val="es-ES"/>
        </w:rPr>
        <w:t>5</w:t>
      </w:r>
    </w:p>
    <w:p w14:paraId="168CED46" w14:textId="4B87C637" w:rsidR="296ECA7C" w:rsidRDefault="296ECA7C" w:rsidP="296ECA7C">
      <w:pPr>
        <w:spacing w:after="0" w:line="240" w:lineRule="auto"/>
        <w:ind w:left="360" w:right="1400"/>
        <w:jc w:val="center"/>
        <w:rPr>
          <w:sz w:val="24"/>
          <w:szCs w:val="24"/>
          <w:lang w:val="es-ES"/>
        </w:rPr>
      </w:pPr>
    </w:p>
    <w:p w14:paraId="72A87AE4" w14:textId="43300DE6" w:rsidR="00B70CE0" w:rsidRDefault="00B70CE0" w:rsidP="00B70CE0">
      <w:pPr>
        <w:pStyle w:val="Ttulo6"/>
        <w:tabs>
          <w:tab w:val="left" w:pos="1087"/>
        </w:tabs>
        <w:spacing w:before="119"/>
        <w:ind w:left="0"/>
        <w:rPr>
          <w:color w:val="131313"/>
        </w:rPr>
      </w:pPr>
      <w:r>
        <w:rPr>
          <w:color w:val="131313"/>
        </w:rPr>
        <w:lastRenderedPageBreak/>
        <w:t>Resultados</w:t>
      </w:r>
      <w:r>
        <w:rPr>
          <w:color w:val="131313"/>
          <w:spacing w:val="-15"/>
        </w:rPr>
        <w:t xml:space="preserve"> </w:t>
      </w:r>
      <w:r>
        <w:rPr>
          <w:color w:val="131313"/>
        </w:rPr>
        <w:t>de</w:t>
      </w:r>
      <w:r>
        <w:rPr>
          <w:color w:val="131313"/>
          <w:spacing w:val="-1"/>
        </w:rPr>
        <w:t xml:space="preserve"> </w:t>
      </w:r>
      <w:r>
        <w:rPr>
          <w:color w:val="131313"/>
        </w:rPr>
        <w:t>la</w:t>
      </w:r>
      <w:r>
        <w:rPr>
          <w:color w:val="131313"/>
          <w:spacing w:val="2"/>
        </w:rPr>
        <w:t xml:space="preserve"> </w:t>
      </w:r>
      <w:r>
        <w:rPr>
          <w:color w:val="131313"/>
        </w:rPr>
        <w:t>ejecución</w:t>
      </w:r>
      <w:r>
        <w:rPr>
          <w:color w:val="131313"/>
          <w:spacing w:val="-4"/>
        </w:rPr>
        <w:t xml:space="preserve"> </w:t>
      </w:r>
      <w:r>
        <w:rPr>
          <w:color w:val="131313"/>
        </w:rPr>
        <w:t>de</w:t>
      </w:r>
      <w:r>
        <w:rPr>
          <w:color w:val="131313"/>
          <w:spacing w:val="1"/>
        </w:rPr>
        <w:t xml:space="preserve"> los productos programados a los ejecutados</w:t>
      </w:r>
      <w:r>
        <w:rPr>
          <w:color w:val="131313"/>
        </w:rPr>
        <w:t>.</w:t>
      </w:r>
    </w:p>
    <w:p w14:paraId="42E77227" w14:textId="77777777" w:rsidR="00B70CE0" w:rsidRDefault="00B70CE0" w:rsidP="00B70CE0">
      <w:pPr>
        <w:pStyle w:val="Ttulo6"/>
        <w:tabs>
          <w:tab w:val="left" w:pos="1087"/>
        </w:tabs>
        <w:spacing w:before="119"/>
        <w:ind w:left="0"/>
        <w:rPr>
          <w:color w:val="131313"/>
        </w:rPr>
      </w:pPr>
    </w:p>
    <w:p w14:paraId="682B8B0E" w14:textId="3ED67AB5" w:rsidR="00B70CE0" w:rsidRPr="00B70CE0" w:rsidRDefault="00B70CE0" w:rsidP="00B70CE0">
      <w:pPr>
        <w:suppressAutoHyphens/>
        <w:autoSpaceDN w:val="0"/>
        <w:spacing w:after="0" w:line="276" w:lineRule="auto"/>
        <w:ind w:right="57"/>
        <w:jc w:val="both"/>
        <w:rPr>
          <w:rFonts w:ascii="Calibri" w:eastAsia="MS Mincho" w:hAnsi="Calibri" w:cs="Times New Roman"/>
          <w:kern w:val="0"/>
          <w:sz w:val="24"/>
          <w:szCs w:val="24"/>
          <w:lang w:val="es-ES" w:eastAsia="es-ES"/>
          <w14:ligatures w14:val="none"/>
        </w:rPr>
      </w:pPr>
      <w:r w:rsidRPr="00B70CE0">
        <w:rPr>
          <w:rFonts w:ascii="Calibri" w:eastAsia="MS Mincho" w:hAnsi="Calibri" w:cs="Times New Roman"/>
          <w:kern w:val="0"/>
          <w:sz w:val="24"/>
          <w:szCs w:val="24"/>
          <w:lang w:val="es-ES" w:eastAsia="es-ES"/>
          <w14:ligatures w14:val="none"/>
        </w:rPr>
        <w:t xml:space="preserve">El Plan Operativo Anual (POA) de la Dirección General de Pasaportes, </w:t>
      </w:r>
      <w:r w:rsidRPr="00B70CE0">
        <w:rPr>
          <w:rFonts w:ascii="Calibri" w:eastAsia="MS Mincho" w:hAnsi="Calibri" w:cs="Times New Roman"/>
          <w:kern w:val="0"/>
          <w:sz w:val="24"/>
          <w:szCs w:val="24"/>
          <w:lang w:val="es-ES"/>
          <w14:ligatures w14:val="none"/>
        </w:rPr>
        <w:t xml:space="preserve">están divididos en once áreas responsables, estas son: Dirección de Emisión y Renovación, Dirección de Planificación y Desarrollo, Dirección de Recursos Humanos, Dirección Jurídica, Dirección de Tecnología, Dirección Administrativa y Financiera, Departamento de Relaciones Consulares, Departamento de Comunicaciones, Departamento de Supervisión en la Operaciones y Departamento de Seguridad cada uno cuanta con involucrados para lograr las metas de sus productos. </w:t>
      </w:r>
    </w:p>
    <w:p w14:paraId="698283D5" w14:textId="77777777" w:rsidR="00B70CE0" w:rsidRPr="00B70CE0" w:rsidRDefault="00B70CE0" w:rsidP="00B70CE0">
      <w:pPr>
        <w:suppressAutoHyphens/>
        <w:autoSpaceDN w:val="0"/>
        <w:spacing w:after="0" w:line="240" w:lineRule="auto"/>
        <w:ind w:right="57"/>
        <w:jc w:val="both"/>
        <w:rPr>
          <w:rFonts w:ascii="Calibri" w:eastAsia="MS Mincho" w:hAnsi="Calibri" w:cs="Times New Roman"/>
          <w:kern w:val="0"/>
          <w:sz w:val="24"/>
          <w:szCs w:val="24"/>
          <w:lang w:val="es-ES"/>
          <w14:ligatures w14:val="none"/>
        </w:rPr>
      </w:pPr>
    </w:p>
    <w:p w14:paraId="4F0863DC" w14:textId="0A908262" w:rsidR="00B70CE0" w:rsidRPr="00B70CE0" w:rsidRDefault="5D4F039A" w:rsidP="00B70CE0">
      <w:pPr>
        <w:suppressAutoHyphens/>
        <w:autoSpaceDN w:val="0"/>
        <w:spacing w:after="0" w:line="276" w:lineRule="auto"/>
        <w:ind w:right="57"/>
        <w:jc w:val="both"/>
        <w:rPr>
          <w:rFonts w:ascii="Calibri" w:eastAsia="MS Mincho" w:hAnsi="Calibri" w:cs="Times New Roman"/>
          <w:kern w:val="0"/>
          <w:sz w:val="24"/>
          <w:szCs w:val="24"/>
          <w:lang w:val="es-ES"/>
          <w14:ligatures w14:val="none"/>
        </w:rPr>
      </w:pPr>
      <w:r w:rsidRPr="00B70CE0">
        <w:rPr>
          <w:rFonts w:ascii="Calibri" w:eastAsia="MS Mincho" w:hAnsi="Calibri" w:cs="Times New Roman"/>
          <w:kern w:val="0"/>
          <w:sz w:val="24"/>
          <w:szCs w:val="24"/>
          <w:lang w:val="es-ES"/>
          <w14:ligatures w14:val="none"/>
        </w:rPr>
        <w:t xml:space="preserve">Aquí presentamos el porcentaje de cumplimiento por eje; el porcentaje ejecutado es el valor que hemos logrado en el </w:t>
      </w:r>
      <w:r w:rsidR="54BCC8B1">
        <w:rPr>
          <w:rFonts w:ascii="Calibri" w:eastAsia="MS Mincho" w:hAnsi="Calibri" w:cs="Times New Roman"/>
          <w:kern w:val="0"/>
          <w:sz w:val="24"/>
          <w:szCs w:val="24"/>
          <w:lang w:val="es-ES"/>
          <w14:ligatures w14:val="none"/>
        </w:rPr>
        <w:t>cuarto</w:t>
      </w:r>
      <w:r w:rsidRPr="00B70CE0">
        <w:rPr>
          <w:rFonts w:ascii="Calibri" w:eastAsia="MS Mincho" w:hAnsi="Calibri" w:cs="Times New Roman"/>
          <w:kern w:val="0"/>
          <w:sz w:val="24"/>
          <w:szCs w:val="24"/>
          <w:lang w:val="es-ES"/>
          <w14:ligatures w14:val="none"/>
        </w:rPr>
        <w:t xml:space="preserve"> trimestre. </w:t>
      </w:r>
    </w:p>
    <w:p w14:paraId="0FEBD4D4" w14:textId="300AA57B" w:rsidR="00B70CE0" w:rsidRPr="00B70CE0" w:rsidRDefault="00940F18" w:rsidP="00B70CE0">
      <w:pPr>
        <w:suppressAutoHyphens/>
        <w:autoSpaceDN w:val="0"/>
        <w:spacing w:after="0" w:line="276" w:lineRule="auto"/>
        <w:ind w:right="57"/>
        <w:jc w:val="center"/>
        <w:rPr>
          <w:rFonts w:ascii="Calibri" w:eastAsia="MS Mincho" w:hAnsi="Calibri" w:cs="Times New Roman"/>
          <w:b/>
          <w:noProof/>
          <w:color w:val="082A75"/>
          <w:kern w:val="0"/>
          <w:sz w:val="28"/>
          <w:lang w:val="es-ES"/>
          <w14:ligatures w14:val="none"/>
        </w:rPr>
      </w:pPr>
      <w:r>
        <w:rPr>
          <w:noProof/>
          <w:lang w:val="es-ES" w:eastAsia="es-ES"/>
        </w:rPr>
        <w:drawing>
          <wp:inline distT="0" distB="0" distL="0" distR="0" wp14:anchorId="0D8BC06A" wp14:editId="74B63046">
            <wp:extent cx="2645229" cy="2200275"/>
            <wp:effectExtent l="0" t="0" r="3175" b="9525"/>
            <wp:docPr id="1133957186"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AF0EBF9-5493-7BB2-BCB6-EEEBD39F81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0034118D" w:rsidRPr="0034118D">
        <w:rPr>
          <w:noProof/>
          <w:lang w:val="es-ES"/>
        </w:rPr>
        <w:t xml:space="preserve"> </w:t>
      </w:r>
      <w:r w:rsidR="007006BD">
        <w:rPr>
          <w:noProof/>
          <w:lang w:val="es-ES" w:eastAsia="es-ES"/>
        </w:rPr>
        <w:drawing>
          <wp:inline distT="0" distB="0" distL="0" distR="0" wp14:anchorId="237B2AEA" wp14:editId="5753AAD9">
            <wp:extent cx="2623457" cy="2195195"/>
            <wp:effectExtent l="0" t="0" r="5715" b="14605"/>
            <wp:docPr id="222180963"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D87AF55-2606-C770-FC82-1481A8E258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4D58B6A" w14:textId="77777777" w:rsidR="00580D81" w:rsidRDefault="00580D81" w:rsidP="00B70CE0">
      <w:pPr>
        <w:suppressAutoHyphens/>
        <w:autoSpaceDN w:val="0"/>
        <w:spacing w:after="0" w:line="276" w:lineRule="auto"/>
        <w:ind w:right="57"/>
        <w:jc w:val="both"/>
        <w:rPr>
          <w:rFonts w:ascii="Calibri" w:eastAsia="MS Mincho" w:hAnsi="Calibri" w:cs="Times New Roman"/>
          <w:kern w:val="0"/>
          <w:sz w:val="24"/>
          <w:szCs w:val="24"/>
          <w:lang w:val="es-ES"/>
          <w14:ligatures w14:val="none"/>
        </w:rPr>
      </w:pPr>
    </w:p>
    <w:p w14:paraId="1F2F37DA" w14:textId="63877986" w:rsidR="00106E1E" w:rsidRDefault="5D4F039A" w:rsidP="296ECA7C">
      <w:pPr>
        <w:suppressAutoHyphens/>
        <w:autoSpaceDN w:val="0"/>
        <w:spacing w:after="0" w:line="276" w:lineRule="auto"/>
        <w:ind w:right="57"/>
        <w:jc w:val="both"/>
        <w:rPr>
          <w:rFonts w:ascii="Calibri" w:eastAsia="MS Mincho" w:hAnsi="Calibri" w:cs="Times New Roman"/>
          <w:kern w:val="0"/>
          <w:sz w:val="24"/>
          <w:szCs w:val="24"/>
          <w:lang w:val="es-DO"/>
          <w14:ligatures w14:val="none"/>
        </w:rPr>
      </w:pPr>
      <w:r w:rsidRPr="296ECA7C">
        <w:rPr>
          <w:rFonts w:ascii="Calibri" w:eastAsia="MS Mincho" w:hAnsi="Calibri" w:cs="Times New Roman"/>
          <w:kern w:val="0"/>
          <w:sz w:val="24"/>
          <w:szCs w:val="24"/>
          <w:lang w:val="es-DO"/>
          <w14:ligatures w14:val="none"/>
        </w:rPr>
        <w:t xml:space="preserve">De manera general, los productos detallados en los ejes estratégicos y en base al Monitoreo y Evaluación, se resaltó en las acciones destinadas al informe de seguimiento y los mismos están sustentado en la evidencia documentadas y escaneada en el sistema; y donde obtuvieron un nivel de ejecución de los productos de un </w:t>
      </w:r>
      <w:r w:rsidR="1936CF46" w:rsidRPr="296ECA7C">
        <w:rPr>
          <w:rFonts w:ascii="Calibri" w:eastAsia="MS Mincho" w:hAnsi="Calibri" w:cs="Times New Roman"/>
          <w:b/>
          <w:bCs/>
          <w:kern w:val="0"/>
          <w:sz w:val="24"/>
          <w:szCs w:val="24"/>
          <w:lang w:val="es-DO"/>
          <w14:ligatures w14:val="none"/>
        </w:rPr>
        <w:t>8</w:t>
      </w:r>
      <w:r w:rsidR="704C4128" w:rsidRPr="296ECA7C">
        <w:rPr>
          <w:rFonts w:ascii="Calibri" w:eastAsia="MS Mincho" w:hAnsi="Calibri" w:cs="Times New Roman"/>
          <w:b/>
          <w:bCs/>
          <w:kern w:val="0"/>
          <w:sz w:val="24"/>
          <w:szCs w:val="24"/>
          <w:lang w:val="es-DO"/>
          <w14:ligatures w14:val="none"/>
        </w:rPr>
        <w:t>8</w:t>
      </w:r>
      <w:r w:rsidR="2EF8CDE9" w:rsidRPr="296ECA7C">
        <w:rPr>
          <w:rFonts w:ascii="Calibri" w:eastAsia="MS Mincho" w:hAnsi="Calibri" w:cs="Times New Roman"/>
          <w:b/>
          <w:bCs/>
          <w:kern w:val="0"/>
          <w:sz w:val="24"/>
          <w:szCs w:val="24"/>
          <w:lang w:val="es-DO"/>
          <w14:ligatures w14:val="none"/>
        </w:rPr>
        <w:t>%.</w:t>
      </w:r>
      <w:r w:rsidR="1936CF46" w:rsidRPr="296ECA7C">
        <w:rPr>
          <w:rFonts w:ascii="Calibri" w:eastAsia="MS Mincho" w:hAnsi="Calibri" w:cs="Times New Roman"/>
          <w:kern w:val="0"/>
          <w:sz w:val="24"/>
          <w:szCs w:val="24"/>
          <w:lang w:val="es-DO"/>
          <w14:ligatures w14:val="none"/>
        </w:rPr>
        <w:t xml:space="preserve"> </w:t>
      </w:r>
      <w:r w:rsidRPr="296ECA7C">
        <w:rPr>
          <w:rFonts w:ascii="Calibri" w:eastAsia="MS Mincho" w:hAnsi="Calibri" w:cs="Times New Roman"/>
          <w:kern w:val="0"/>
          <w:sz w:val="24"/>
          <w:szCs w:val="24"/>
          <w:lang w:val="es-DO"/>
          <w14:ligatures w14:val="none"/>
        </w:rPr>
        <w:t xml:space="preserve">A continuación, se presenta el nivel de ejecución de las metas por producto relativas a los Ejes, para el </w:t>
      </w:r>
      <w:r w:rsidR="1936CF46" w:rsidRPr="296ECA7C">
        <w:rPr>
          <w:rFonts w:ascii="Calibri" w:eastAsia="MS Mincho" w:hAnsi="Calibri" w:cs="Times New Roman"/>
          <w:kern w:val="0"/>
          <w:sz w:val="24"/>
          <w:szCs w:val="24"/>
          <w:lang w:val="es-DO"/>
          <w14:ligatures w14:val="none"/>
        </w:rPr>
        <w:t>cuarto</w:t>
      </w:r>
      <w:r w:rsidRPr="296ECA7C">
        <w:rPr>
          <w:rFonts w:ascii="Calibri" w:eastAsia="MS Mincho" w:hAnsi="Calibri" w:cs="Times New Roman"/>
          <w:kern w:val="0"/>
          <w:sz w:val="24"/>
          <w:szCs w:val="24"/>
          <w:lang w:val="es-DO"/>
          <w14:ligatures w14:val="none"/>
        </w:rPr>
        <w:t xml:space="preserve"> trimestre del POA 202</w:t>
      </w:r>
      <w:r w:rsidR="34B6ED7D" w:rsidRPr="296ECA7C">
        <w:rPr>
          <w:rFonts w:ascii="Calibri" w:eastAsia="MS Mincho" w:hAnsi="Calibri" w:cs="Times New Roman"/>
          <w:kern w:val="0"/>
          <w:sz w:val="24"/>
          <w:szCs w:val="24"/>
          <w:lang w:val="es-DO"/>
          <w14:ligatures w14:val="none"/>
        </w:rPr>
        <w:t>4</w:t>
      </w:r>
      <w:r w:rsidRPr="296ECA7C">
        <w:rPr>
          <w:rFonts w:ascii="Calibri" w:eastAsia="MS Mincho" w:hAnsi="Calibri" w:cs="Times New Roman"/>
          <w:kern w:val="0"/>
          <w:sz w:val="24"/>
          <w:szCs w:val="24"/>
          <w:lang w:val="es-DO"/>
          <w14:ligatures w14:val="none"/>
        </w:rPr>
        <w:t>:</w:t>
      </w:r>
    </w:p>
    <w:p w14:paraId="16EF90E9" w14:textId="77777777" w:rsidR="00106E1E" w:rsidRDefault="00106E1E" w:rsidP="00B9183D">
      <w:pPr>
        <w:spacing w:after="0" w:line="240" w:lineRule="auto"/>
        <w:ind w:left="-90" w:right="18"/>
        <w:rPr>
          <w:rFonts w:ascii="Calibri" w:eastAsia="MS Mincho" w:hAnsi="Calibri" w:cs="Times New Roman"/>
          <w:kern w:val="0"/>
          <w:sz w:val="24"/>
          <w:szCs w:val="24"/>
          <w:lang w:val="es-ES"/>
          <w14:ligatures w14:val="none"/>
        </w:rPr>
      </w:pPr>
    </w:p>
    <w:p w14:paraId="33228D75" w14:textId="77777777" w:rsidR="0004184C" w:rsidRPr="0004184C" w:rsidRDefault="0004184C" w:rsidP="0004184C">
      <w:pPr>
        <w:tabs>
          <w:tab w:val="left" w:pos="7335"/>
        </w:tabs>
        <w:suppressAutoHyphens/>
        <w:autoSpaceDN w:val="0"/>
        <w:spacing w:after="200" w:line="276" w:lineRule="auto"/>
        <w:jc w:val="both"/>
        <w:rPr>
          <w:rFonts w:ascii="Calibri" w:eastAsia="MS Mincho" w:hAnsi="Calibri" w:cs="Times New Roman"/>
          <w:b/>
          <w:bCs/>
          <w:kern w:val="0"/>
          <w:sz w:val="24"/>
          <w:szCs w:val="24"/>
          <w:lang w:val="es-ES"/>
          <w14:ligatures w14:val="none"/>
        </w:rPr>
      </w:pPr>
      <w:r w:rsidRPr="0004184C">
        <w:rPr>
          <w:rFonts w:ascii="Calibri" w:eastAsia="MS Mincho" w:hAnsi="Calibri" w:cs="Times New Roman"/>
          <w:b/>
          <w:bCs/>
          <w:kern w:val="0"/>
          <w:sz w:val="24"/>
          <w:szCs w:val="24"/>
          <w:lang w:val="es-ES"/>
          <w14:ligatures w14:val="none"/>
        </w:rPr>
        <w:t xml:space="preserve">Porcentaje equivalente de acuerdo con los productos. Con base en, el trimestre. </w:t>
      </w:r>
    </w:p>
    <w:p w14:paraId="4F9994F9" w14:textId="1B8F3726" w:rsidR="0004184C" w:rsidRPr="0004184C" w:rsidRDefault="0579F527" w:rsidP="0004184C">
      <w:pPr>
        <w:suppressAutoHyphens/>
        <w:autoSpaceDN w:val="0"/>
        <w:spacing w:after="0" w:line="276" w:lineRule="auto"/>
        <w:ind w:right="57"/>
        <w:jc w:val="both"/>
        <w:rPr>
          <w:rFonts w:ascii="Calibri" w:eastAsia="MS Mincho" w:hAnsi="Calibri" w:cs="Times New Roman"/>
          <w:kern w:val="0"/>
          <w:sz w:val="24"/>
          <w:szCs w:val="24"/>
          <w:lang w:val="es-ES"/>
          <w14:ligatures w14:val="none"/>
        </w:rPr>
      </w:pPr>
      <w:r w:rsidRPr="0004184C">
        <w:rPr>
          <w:rFonts w:ascii="Calibri" w:eastAsia="MS Mincho" w:hAnsi="Calibri" w:cs="Times New Roman"/>
          <w:kern w:val="0"/>
          <w:sz w:val="24"/>
          <w:szCs w:val="24"/>
          <w:lang w:val="es-ES"/>
          <w14:ligatures w14:val="none"/>
        </w:rPr>
        <w:t xml:space="preserve">A continuación, se presenta el nivel de ejecución que obtuvieron las áreas responsables con sus productos, correspondiente al </w:t>
      </w:r>
      <w:r w:rsidR="3C808E68" w:rsidRPr="0004184C">
        <w:rPr>
          <w:rFonts w:ascii="Calibri" w:eastAsia="MS Mincho" w:hAnsi="Calibri" w:cs="Times New Roman"/>
          <w:kern w:val="0"/>
          <w:sz w:val="24"/>
          <w:szCs w:val="24"/>
          <w:lang w:val="es-ES"/>
          <w14:ligatures w14:val="none"/>
        </w:rPr>
        <w:t xml:space="preserve">cuarto </w:t>
      </w:r>
      <w:r w:rsidRPr="0004184C">
        <w:rPr>
          <w:rFonts w:ascii="Calibri" w:eastAsia="MS Mincho" w:hAnsi="Calibri" w:cs="Times New Roman"/>
          <w:kern w:val="0"/>
          <w:sz w:val="24"/>
          <w:szCs w:val="24"/>
          <w:lang w:val="es-ES"/>
          <w14:ligatures w14:val="none"/>
        </w:rPr>
        <w:t>trimestre del POA 202</w:t>
      </w:r>
      <w:r w:rsidR="34B6ED7D">
        <w:rPr>
          <w:rFonts w:ascii="Calibri" w:eastAsia="MS Mincho" w:hAnsi="Calibri" w:cs="Times New Roman"/>
          <w:kern w:val="0"/>
          <w:sz w:val="24"/>
          <w:szCs w:val="24"/>
          <w:lang w:val="es-ES"/>
          <w14:ligatures w14:val="none"/>
        </w:rPr>
        <w:t>4</w:t>
      </w:r>
      <w:r w:rsidRPr="0004184C">
        <w:rPr>
          <w:rFonts w:ascii="Calibri" w:eastAsia="MS Mincho" w:hAnsi="Calibri" w:cs="Times New Roman"/>
          <w:kern w:val="0"/>
          <w:sz w:val="24"/>
          <w:szCs w:val="24"/>
          <w:lang w:val="es-ES"/>
          <w14:ligatures w14:val="none"/>
        </w:rPr>
        <w:t>:</w:t>
      </w:r>
    </w:p>
    <w:p w14:paraId="51F4FBA2" w14:textId="6320150C" w:rsidR="0004184C" w:rsidRPr="005A1627" w:rsidRDefault="0004184C" w:rsidP="0004184C">
      <w:pPr>
        <w:suppressAutoHyphens/>
        <w:autoSpaceDN w:val="0"/>
        <w:spacing w:after="0" w:line="276" w:lineRule="auto"/>
        <w:ind w:right="57"/>
        <w:jc w:val="center"/>
        <w:rPr>
          <w:rFonts w:ascii="Calibri" w:eastAsia="MS Mincho" w:hAnsi="Calibri" w:cs="Times New Roman"/>
          <w:kern w:val="0"/>
          <w:sz w:val="24"/>
          <w:szCs w:val="24"/>
          <w:lang w:val="es-ES"/>
          <w14:ligatures w14:val="none"/>
        </w:rPr>
      </w:pPr>
    </w:p>
    <w:p w14:paraId="7E9FE7B4" w14:textId="77777777" w:rsidR="008915B9" w:rsidRDefault="008915B9" w:rsidP="0004184C">
      <w:pPr>
        <w:suppressAutoHyphens/>
        <w:autoSpaceDN w:val="0"/>
        <w:spacing w:after="0" w:line="240" w:lineRule="auto"/>
        <w:ind w:right="57"/>
        <w:jc w:val="center"/>
        <w:rPr>
          <w:rFonts w:ascii="Calibri" w:eastAsia="MS Mincho" w:hAnsi="Calibri" w:cs="Times New Roman"/>
          <w:kern w:val="0"/>
          <w:sz w:val="24"/>
          <w:szCs w:val="24"/>
          <w:lang w:val="es-ES"/>
          <w14:ligatures w14:val="none"/>
        </w:rPr>
      </w:pPr>
    </w:p>
    <w:p w14:paraId="3AD0204B" w14:textId="77777777" w:rsidR="008915B9" w:rsidRDefault="008915B9" w:rsidP="0004184C">
      <w:pPr>
        <w:suppressAutoHyphens/>
        <w:autoSpaceDN w:val="0"/>
        <w:spacing w:after="0" w:line="240" w:lineRule="auto"/>
        <w:ind w:right="57"/>
        <w:jc w:val="center"/>
        <w:rPr>
          <w:rFonts w:ascii="Calibri" w:eastAsia="MS Mincho" w:hAnsi="Calibri" w:cs="Times New Roman"/>
          <w:kern w:val="0"/>
          <w:sz w:val="24"/>
          <w:szCs w:val="24"/>
          <w:lang w:val="es-ES"/>
          <w14:ligatures w14:val="none"/>
        </w:rPr>
      </w:pPr>
    </w:p>
    <w:p w14:paraId="39359055" w14:textId="77777777" w:rsidR="008915B9" w:rsidRDefault="008915B9" w:rsidP="0004184C">
      <w:pPr>
        <w:suppressAutoHyphens/>
        <w:autoSpaceDN w:val="0"/>
        <w:spacing w:after="0" w:line="240" w:lineRule="auto"/>
        <w:ind w:right="57"/>
        <w:jc w:val="center"/>
        <w:rPr>
          <w:rFonts w:ascii="Calibri" w:eastAsia="MS Mincho" w:hAnsi="Calibri" w:cs="Times New Roman"/>
          <w:kern w:val="0"/>
          <w:sz w:val="24"/>
          <w:szCs w:val="24"/>
          <w:lang w:val="es-ES"/>
          <w14:ligatures w14:val="none"/>
        </w:rPr>
      </w:pPr>
    </w:p>
    <w:p w14:paraId="240DA9ED" w14:textId="77777777" w:rsidR="008915B9" w:rsidRDefault="008915B9" w:rsidP="0004184C">
      <w:pPr>
        <w:suppressAutoHyphens/>
        <w:autoSpaceDN w:val="0"/>
        <w:spacing w:after="0" w:line="240" w:lineRule="auto"/>
        <w:ind w:right="57"/>
        <w:jc w:val="center"/>
        <w:rPr>
          <w:rFonts w:ascii="Calibri" w:eastAsia="MS Mincho" w:hAnsi="Calibri" w:cs="Times New Roman"/>
          <w:kern w:val="0"/>
          <w:sz w:val="24"/>
          <w:szCs w:val="24"/>
          <w:lang w:val="es-ES"/>
          <w14:ligatures w14:val="none"/>
        </w:rPr>
      </w:pPr>
    </w:p>
    <w:p w14:paraId="3E665443" w14:textId="2644984B" w:rsidR="0004184C" w:rsidRDefault="0028633F" w:rsidP="0004184C">
      <w:pPr>
        <w:suppressAutoHyphens/>
        <w:autoSpaceDN w:val="0"/>
        <w:spacing w:after="0" w:line="240" w:lineRule="auto"/>
        <w:ind w:right="57"/>
        <w:jc w:val="center"/>
        <w:rPr>
          <w:rFonts w:ascii="Calibri" w:eastAsia="MS Mincho" w:hAnsi="Calibri" w:cs="Times New Roman"/>
          <w:kern w:val="0"/>
          <w:sz w:val="24"/>
          <w:szCs w:val="24"/>
          <w:lang w:val="es-ES"/>
          <w14:ligatures w14:val="none"/>
        </w:rPr>
      </w:pPr>
      <w:r>
        <w:rPr>
          <w:noProof/>
          <w:lang w:val="es-ES" w:eastAsia="es-ES"/>
        </w:rPr>
        <w:lastRenderedPageBreak/>
        <w:drawing>
          <wp:inline distT="0" distB="0" distL="0" distR="0" wp14:anchorId="30933875" wp14:editId="5D4F0FF7">
            <wp:extent cx="4430486" cy="2743200"/>
            <wp:effectExtent l="0" t="0" r="8255" b="0"/>
            <wp:docPr id="2147462185"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4A59E37-3A1A-1755-1C7D-A5E60DC0A2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A567854" w14:textId="77777777" w:rsidR="005A1627" w:rsidRPr="0004184C" w:rsidRDefault="005A1627" w:rsidP="0004184C">
      <w:pPr>
        <w:suppressAutoHyphens/>
        <w:autoSpaceDN w:val="0"/>
        <w:spacing w:after="0" w:line="240" w:lineRule="auto"/>
        <w:ind w:right="57"/>
        <w:jc w:val="center"/>
        <w:rPr>
          <w:rFonts w:ascii="Calibri" w:eastAsia="MS Mincho" w:hAnsi="Calibri" w:cs="Times New Roman"/>
          <w:kern w:val="0"/>
          <w:sz w:val="24"/>
          <w:szCs w:val="24"/>
          <w:lang w:val="es-ES"/>
          <w14:ligatures w14:val="none"/>
        </w:rPr>
      </w:pPr>
    </w:p>
    <w:p w14:paraId="2929A027" w14:textId="7514F925" w:rsidR="00D55D2C" w:rsidRPr="00940F18" w:rsidRDefault="0579F527" w:rsidP="296ECA7C">
      <w:pPr>
        <w:suppressAutoHyphens/>
        <w:autoSpaceDN w:val="0"/>
        <w:spacing w:after="0" w:line="276" w:lineRule="auto"/>
        <w:ind w:right="57"/>
        <w:jc w:val="both"/>
        <w:rPr>
          <w:rFonts w:ascii="Calibri" w:eastAsia="MS Mincho" w:hAnsi="Calibri" w:cs="Times New Roman"/>
          <w:color w:val="FF0000"/>
          <w:kern w:val="0"/>
          <w:sz w:val="24"/>
          <w:szCs w:val="24"/>
          <w:lang w:val="es-ES"/>
          <w14:ligatures w14:val="none"/>
        </w:rPr>
      </w:pPr>
      <w:r w:rsidRPr="296ECA7C">
        <w:rPr>
          <w:rFonts w:ascii="Calibri" w:eastAsia="MS Mincho" w:hAnsi="Calibri" w:cs="Times New Roman"/>
          <w:kern w:val="0"/>
          <w:sz w:val="24"/>
          <w:szCs w:val="24"/>
          <w:lang w:val="es-ES"/>
          <w14:ligatures w14:val="none"/>
        </w:rPr>
        <w:t xml:space="preserve">Al realizar un análisis de los datos obtenidos de la evaluación en el </w:t>
      </w:r>
      <w:r w:rsidR="54BCC8B1" w:rsidRPr="296ECA7C">
        <w:rPr>
          <w:rFonts w:ascii="Calibri" w:eastAsia="MS Mincho" w:hAnsi="Calibri" w:cs="Times New Roman"/>
          <w:kern w:val="0"/>
          <w:sz w:val="24"/>
          <w:szCs w:val="24"/>
          <w:lang w:val="es-ES"/>
          <w14:ligatures w14:val="none"/>
        </w:rPr>
        <w:t>cuarto</w:t>
      </w:r>
      <w:r w:rsidRPr="296ECA7C">
        <w:rPr>
          <w:rFonts w:ascii="Calibri" w:eastAsia="MS Mincho" w:hAnsi="Calibri" w:cs="Times New Roman"/>
          <w:kern w:val="0"/>
          <w:sz w:val="24"/>
          <w:szCs w:val="24"/>
          <w:lang w:val="es-ES"/>
          <w14:ligatures w14:val="none"/>
        </w:rPr>
        <w:t xml:space="preserve"> trimestre del POA 202</w:t>
      </w:r>
      <w:r w:rsidR="34B6ED7D" w:rsidRPr="296ECA7C">
        <w:rPr>
          <w:rFonts w:ascii="Calibri" w:eastAsia="MS Mincho" w:hAnsi="Calibri" w:cs="Times New Roman"/>
          <w:kern w:val="0"/>
          <w:sz w:val="24"/>
          <w:szCs w:val="24"/>
          <w:lang w:val="es-ES"/>
          <w14:ligatures w14:val="none"/>
        </w:rPr>
        <w:t>4</w:t>
      </w:r>
      <w:r w:rsidRPr="296ECA7C">
        <w:rPr>
          <w:rFonts w:ascii="Calibri" w:eastAsia="MS Mincho" w:hAnsi="Calibri" w:cs="Times New Roman"/>
          <w:kern w:val="0"/>
          <w:sz w:val="24"/>
          <w:szCs w:val="24"/>
          <w:lang w:val="es-ES"/>
          <w14:ligatures w14:val="none"/>
        </w:rPr>
        <w:t xml:space="preserve">, se ha cumplimiento un </w:t>
      </w:r>
      <w:r w:rsidR="45314468">
        <w:rPr>
          <w:rFonts w:ascii="Calibri" w:eastAsia="MS Mincho" w:hAnsi="Calibri" w:cs="Times New Roman"/>
          <w:b/>
          <w:bCs/>
          <w:kern w:val="0"/>
          <w:sz w:val="28"/>
          <w:szCs w:val="28"/>
          <w:lang w:val="es-ES"/>
          <w14:ligatures w14:val="none"/>
        </w:rPr>
        <w:t>9</w:t>
      </w:r>
      <w:r w:rsidR="7BB35018">
        <w:rPr>
          <w:rFonts w:ascii="Calibri" w:eastAsia="MS Mincho" w:hAnsi="Calibri" w:cs="Times New Roman"/>
          <w:b/>
          <w:bCs/>
          <w:kern w:val="0"/>
          <w:sz w:val="28"/>
          <w:szCs w:val="28"/>
          <w:lang w:val="es-ES"/>
          <w14:ligatures w14:val="none"/>
        </w:rPr>
        <w:t>5</w:t>
      </w:r>
      <w:r w:rsidRPr="0004184C">
        <w:rPr>
          <w:rFonts w:ascii="Calibri" w:eastAsia="MS Mincho" w:hAnsi="Calibri" w:cs="Times New Roman"/>
          <w:b/>
          <w:bCs/>
          <w:kern w:val="0"/>
          <w:sz w:val="28"/>
          <w:szCs w:val="28"/>
          <w:lang w:val="es-ES"/>
          <w14:ligatures w14:val="none"/>
        </w:rPr>
        <w:t>%,</w:t>
      </w:r>
      <w:r w:rsidRPr="0004184C">
        <w:rPr>
          <w:rFonts w:ascii="Calibri" w:eastAsia="MS Mincho" w:hAnsi="Calibri" w:cs="Times New Roman"/>
          <w:kern w:val="0"/>
          <w:sz w:val="28"/>
          <w:szCs w:val="28"/>
          <w:lang w:val="es-ES"/>
          <w14:ligatures w14:val="none"/>
        </w:rPr>
        <w:t xml:space="preserve"> </w:t>
      </w:r>
      <w:r w:rsidRPr="296ECA7C">
        <w:rPr>
          <w:rFonts w:ascii="Calibri" w:eastAsia="MS Mincho" w:hAnsi="Calibri" w:cs="Times New Roman"/>
          <w:kern w:val="0"/>
          <w:sz w:val="24"/>
          <w:szCs w:val="24"/>
          <w:lang w:val="es-ES"/>
          <w14:ligatures w14:val="none"/>
        </w:rPr>
        <w:t>de las metas total de acuerdo con los ejes estratégicos</w:t>
      </w:r>
      <w:r w:rsidR="7BB35018" w:rsidRPr="296ECA7C">
        <w:rPr>
          <w:rFonts w:ascii="Calibri" w:eastAsia="MS Mincho" w:hAnsi="Calibri" w:cs="Times New Roman"/>
          <w:kern w:val="0"/>
          <w:sz w:val="24"/>
          <w:szCs w:val="24"/>
          <w:lang w:val="es-ES"/>
          <w14:ligatures w14:val="none"/>
        </w:rPr>
        <w:t>.</w:t>
      </w:r>
      <w:r w:rsidRPr="296ECA7C">
        <w:rPr>
          <w:rFonts w:ascii="Calibri" w:eastAsia="MS Mincho" w:hAnsi="Calibri" w:cs="Times New Roman"/>
          <w:color w:val="FF0000"/>
          <w:kern w:val="0"/>
          <w:sz w:val="24"/>
          <w:szCs w:val="24"/>
          <w:lang w:val="es-ES"/>
          <w14:ligatures w14:val="none"/>
        </w:rPr>
        <w:t xml:space="preserve"> </w:t>
      </w:r>
    </w:p>
    <w:p w14:paraId="7A33C410" w14:textId="77777777" w:rsidR="00D55D2C" w:rsidRDefault="00D55D2C" w:rsidP="00B92405">
      <w:pPr>
        <w:suppressAutoHyphens/>
        <w:autoSpaceDN w:val="0"/>
        <w:spacing w:after="0" w:line="276" w:lineRule="auto"/>
        <w:ind w:right="57"/>
        <w:jc w:val="both"/>
        <w:rPr>
          <w:rFonts w:ascii="Calibri" w:eastAsia="MS Mincho" w:hAnsi="Calibri" w:cs="Times New Roman"/>
          <w:b/>
          <w:color w:val="002060"/>
          <w:kern w:val="0"/>
          <w:sz w:val="25"/>
          <w:szCs w:val="25"/>
          <w:lang w:val="es-ES"/>
          <w14:ligatures w14:val="none"/>
        </w:rPr>
      </w:pPr>
    </w:p>
    <w:p w14:paraId="12978832" w14:textId="13DF57B0" w:rsidR="00B92405" w:rsidRPr="00B92405" w:rsidRDefault="00B92405" w:rsidP="00B92405">
      <w:pPr>
        <w:suppressAutoHyphens/>
        <w:autoSpaceDN w:val="0"/>
        <w:spacing w:after="0" w:line="276" w:lineRule="auto"/>
        <w:ind w:right="57"/>
        <w:jc w:val="both"/>
        <w:rPr>
          <w:rFonts w:ascii="Calibri" w:eastAsia="MS Mincho" w:hAnsi="Calibri" w:cs="Times New Roman"/>
          <w:b/>
          <w:color w:val="002060"/>
          <w:kern w:val="0"/>
          <w:sz w:val="25"/>
          <w:szCs w:val="25"/>
          <w:lang w:val="es-ES"/>
          <w14:ligatures w14:val="none"/>
        </w:rPr>
      </w:pPr>
      <w:r w:rsidRPr="00B92405">
        <w:rPr>
          <w:rFonts w:ascii="Calibri" w:eastAsia="MS Mincho" w:hAnsi="Calibri" w:cs="Times New Roman"/>
          <w:b/>
          <w:color w:val="002060"/>
          <w:kern w:val="0"/>
          <w:sz w:val="25"/>
          <w:szCs w:val="25"/>
          <w:lang w:val="es-ES"/>
          <w14:ligatures w14:val="none"/>
        </w:rPr>
        <w:t xml:space="preserve">Ejes 1. Atención al Ciudadano y Seguridad del Documento de Viaje: Estos son los productos y áreas correspondientes. </w:t>
      </w:r>
    </w:p>
    <w:p w14:paraId="5A509C26" w14:textId="77777777" w:rsidR="00B92405" w:rsidRPr="00B92405" w:rsidRDefault="00B92405" w:rsidP="00B92405">
      <w:pPr>
        <w:suppressAutoHyphens/>
        <w:autoSpaceDN w:val="0"/>
        <w:spacing w:after="0" w:line="240" w:lineRule="auto"/>
        <w:ind w:right="57"/>
        <w:jc w:val="both"/>
        <w:rPr>
          <w:rFonts w:ascii="Calibri" w:eastAsia="MS Mincho" w:hAnsi="Calibri" w:cs="Times New Roman"/>
          <w:b/>
          <w:color w:val="002060"/>
          <w:kern w:val="0"/>
          <w:sz w:val="25"/>
          <w:szCs w:val="25"/>
          <w:lang w:val="es-ES"/>
          <w14:ligatures w14:val="none"/>
        </w:rPr>
      </w:pPr>
    </w:p>
    <w:p w14:paraId="575BB381" w14:textId="46AA066E" w:rsidR="00B92405" w:rsidRDefault="00B92405" w:rsidP="00B92405">
      <w:pPr>
        <w:suppressAutoHyphens/>
        <w:autoSpaceDN w:val="0"/>
        <w:spacing w:after="0" w:line="276" w:lineRule="auto"/>
        <w:ind w:right="57"/>
        <w:jc w:val="both"/>
        <w:rPr>
          <w:rFonts w:ascii="Calibri" w:eastAsia="MS Mincho" w:hAnsi="Calibri" w:cs="Times New Roman"/>
          <w:b/>
          <w:kern w:val="0"/>
          <w:sz w:val="25"/>
          <w:szCs w:val="25"/>
          <w:lang w:val="es-ES"/>
          <w14:ligatures w14:val="none"/>
        </w:rPr>
      </w:pPr>
      <w:r w:rsidRPr="00B92405">
        <w:rPr>
          <w:rFonts w:ascii="Calibri" w:eastAsia="MS Mincho" w:hAnsi="Calibri" w:cs="Times New Roman"/>
          <w:b/>
          <w:i/>
          <w:iCs/>
          <w:kern w:val="0"/>
          <w:sz w:val="25"/>
          <w:szCs w:val="25"/>
          <w:u w:val="single"/>
          <w:lang w:val="es-ES"/>
          <w14:ligatures w14:val="none"/>
        </w:rPr>
        <w:t>Área Responsable</w:t>
      </w:r>
      <w:r w:rsidRPr="00B92405">
        <w:rPr>
          <w:rFonts w:ascii="Calibri" w:eastAsia="MS Mincho" w:hAnsi="Calibri" w:cs="Times New Roman"/>
          <w:b/>
          <w:kern w:val="0"/>
          <w:sz w:val="25"/>
          <w:szCs w:val="25"/>
          <w:lang w:val="es-ES"/>
          <w14:ligatures w14:val="none"/>
        </w:rPr>
        <w:t xml:space="preserve">: Emisión y renovación. </w:t>
      </w:r>
      <w:r w:rsidRPr="00B92405">
        <w:rPr>
          <w:rFonts w:ascii="Calibri" w:eastAsia="MS Mincho" w:hAnsi="Calibri" w:cs="Times New Roman"/>
          <w:b/>
          <w:i/>
          <w:iCs/>
          <w:kern w:val="0"/>
          <w:sz w:val="25"/>
          <w:szCs w:val="25"/>
          <w:u w:val="single"/>
          <w:lang w:val="es-ES"/>
          <w14:ligatures w14:val="none"/>
        </w:rPr>
        <w:t>áreas Involucradas</w:t>
      </w:r>
      <w:r w:rsidRPr="00B92405">
        <w:rPr>
          <w:rFonts w:ascii="Calibri" w:eastAsia="MS Mincho" w:hAnsi="Calibri" w:cs="Times New Roman"/>
          <w:b/>
          <w:kern w:val="0"/>
          <w:sz w:val="25"/>
          <w:szCs w:val="25"/>
          <w:lang w:val="es-ES"/>
          <w14:ligatures w14:val="none"/>
        </w:rPr>
        <w:t xml:space="preserve">: MAE, TIC, Servicio Online, Atención al Ciudadano, Supervisión y Control, Jurídico, Captura. </w:t>
      </w:r>
    </w:p>
    <w:p w14:paraId="7D46A982" w14:textId="77777777" w:rsidR="000F630D" w:rsidRDefault="000F630D" w:rsidP="00B92405">
      <w:pPr>
        <w:suppressAutoHyphens/>
        <w:autoSpaceDN w:val="0"/>
        <w:spacing w:after="0" w:line="276" w:lineRule="auto"/>
        <w:ind w:right="57"/>
        <w:jc w:val="both"/>
        <w:rPr>
          <w:rFonts w:ascii="Calibri" w:eastAsia="MS Mincho" w:hAnsi="Calibri" w:cs="Times New Roman"/>
          <w:b/>
          <w:kern w:val="0"/>
          <w:sz w:val="25"/>
          <w:szCs w:val="25"/>
          <w:lang w:val="es-ES"/>
          <w14:ligatures w14:val="none"/>
        </w:rPr>
      </w:pPr>
    </w:p>
    <w:p w14:paraId="22CBB815" w14:textId="5027F0B1" w:rsidR="000F630D" w:rsidRDefault="000F630D" w:rsidP="00B92405">
      <w:pPr>
        <w:suppressAutoHyphens/>
        <w:autoSpaceDN w:val="0"/>
        <w:spacing w:after="0" w:line="276" w:lineRule="auto"/>
        <w:ind w:right="57"/>
        <w:jc w:val="both"/>
        <w:rPr>
          <w:rFonts w:ascii="Calibri" w:eastAsia="MS Mincho" w:hAnsi="Calibri" w:cs="Times New Roman"/>
          <w:kern w:val="0"/>
          <w:sz w:val="24"/>
          <w:szCs w:val="24"/>
          <w:lang w:val="es-ES"/>
          <w14:ligatures w14:val="none"/>
        </w:rPr>
      </w:pPr>
      <w:r>
        <w:rPr>
          <w:noProof/>
          <w:lang w:val="es-ES" w:eastAsia="es-ES"/>
        </w:rPr>
        <w:drawing>
          <wp:inline distT="0" distB="0" distL="0" distR="0" wp14:anchorId="2749A3EC" wp14:editId="64B1DC1F">
            <wp:extent cx="5612130" cy="2286000"/>
            <wp:effectExtent l="0" t="0" r="7620" b="0"/>
            <wp:docPr id="962875312"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42CA1DC-03A2-8EA1-EA44-B41B4987EF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17B24078" w:rsidRPr="000F630D">
        <w:rPr>
          <w:rFonts w:ascii="Calibri" w:eastAsia="MS Mincho" w:hAnsi="Calibri" w:cs="Times New Roman"/>
          <w:kern w:val="0"/>
          <w:sz w:val="24"/>
          <w:szCs w:val="24"/>
          <w:lang w:val="es-ES"/>
          <w14:ligatures w14:val="none"/>
        </w:rPr>
        <w:t xml:space="preserve">Pasaporte está cambiando, una puntuación favorable en la encuesta al ciudadano sobre el servicio ofrecido. </w:t>
      </w:r>
    </w:p>
    <w:p w14:paraId="6ADC3EA3" w14:textId="77777777" w:rsidR="00594F3F" w:rsidRDefault="00594F3F" w:rsidP="00B92405">
      <w:pPr>
        <w:suppressAutoHyphens/>
        <w:autoSpaceDN w:val="0"/>
        <w:spacing w:after="0" w:line="276" w:lineRule="auto"/>
        <w:ind w:right="57"/>
        <w:jc w:val="both"/>
        <w:rPr>
          <w:rFonts w:ascii="Calibri" w:eastAsia="MS Mincho" w:hAnsi="Calibri" w:cs="Times New Roman"/>
          <w:b/>
          <w:kern w:val="0"/>
          <w:sz w:val="25"/>
          <w:szCs w:val="25"/>
          <w:lang w:val="es-ES"/>
          <w14:ligatures w14:val="none"/>
        </w:rPr>
      </w:pPr>
    </w:p>
    <w:p w14:paraId="74023B18" w14:textId="0A7C7F40" w:rsidR="00594F3F" w:rsidRPr="00C417EB" w:rsidRDefault="000F630D" w:rsidP="00B92405">
      <w:pPr>
        <w:suppressAutoHyphens/>
        <w:autoSpaceDN w:val="0"/>
        <w:spacing w:after="0" w:line="276" w:lineRule="auto"/>
        <w:ind w:right="57"/>
        <w:jc w:val="both"/>
        <w:rPr>
          <w:rFonts w:ascii="Calibri" w:eastAsia="MS Mincho" w:hAnsi="Calibri" w:cs="Times New Roman"/>
          <w:kern w:val="0"/>
          <w:sz w:val="24"/>
          <w:szCs w:val="24"/>
          <w:lang w:val="es-ES"/>
          <w14:ligatures w14:val="none"/>
        </w:rPr>
      </w:pPr>
      <w:r>
        <w:rPr>
          <w:noProof/>
          <w:lang w:val="es-ES" w:eastAsia="es-ES"/>
        </w:rPr>
        <w:lastRenderedPageBreak/>
        <w:drawing>
          <wp:inline distT="0" distB="0" distL="0" distR="0" wp14:anchorId="68F7D2CB" wp14:editId="39F5F6D5">
            <wp:extent cx="5612130" cy="3766458"/>
            <wp:effectExtent l="0" t="0" r="7620" b="5715"/>
            <wp:docPr id="332273085"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58A93BC-CCA9-8254-83FD-04BF2D489E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79A1E131" w:rsidRPr="00B92405">
        <w:rPr>
          <w:rFonts w:ascii="Calibri" w:eastAsia="MS Mincho" w:hAnsi="Calibri" w:cs="Times New Roman"/>
          <w:kern w:val="0"/>
          <w:sz w:val="24"/>
          <w:szCs w:val="24"/>
          <w:lang w:val="es-ES"/>
          <w14:ligatures w14:val="none"/>
        </w:rPr>
        <w:t xml:space="preserve">Este producto se ha ejecutado con eficiencia de acuerdo con las metas establecidas en los cuatro indicadores, y se va a evaluar constantemente próximos trimestres. </w:t>
      </w:r>
    </w:p>
    <w:p w14:paraId="727B80D4" w14:textId="77777777" w:rsidR="00792D0B" w:rsidRPr="00B92405" w:rsidRDefault="00792D0B" w:rsidP="00B92405">
      <w:pPr>
        <w:suppressAutoHyphens/>
        <w:autoSpaceDN w:val="0"/>
        <w:spacing w:after="0" w:line="276" w:lineRule="auto"/>
        <w:ind w:right="57"/>
        <w:jc w:val="both"/>
        <w:rPr>
          <w:rFonts w:ascii="Calibri" w:eastAsia="MS Mincho" w:hAnsi="Calibri" w:cs="Times New Roman"/>
          <w:kern w:val="0"/>
          <w:sz w:val="24"/>
          <w:szCs w:val="24"/>
          <w:lang w:val="es-ES"/>
          <w14:ligatures w14:val="none"/>
        </w:rPr>
      </w:pPr>
    </w:p>
    <w:p w14:paraId="20C04A94" w14:textId="6449EFE6" w:rsidR="00B92405" w:rsidRPr="00B92405" w:rsidRDefault="000F630D" w:rsidP="00B92405">
      <w:pPr>
        <w:suppressAutoHyphens/>
        <w:autoSpaceDN w:val="0"/>
        <w:spacing w:after="0" w:line="276" w:lineRule="auto"/>
        <w:ind w:right="57"/>
        <w:jc w:val="both"/>
        <w:rPr>
          <w:rFonts w:ascii="Calibri" w:eastAsia="MS Mincho" w:hAnsi="Calibri" w:cs="Times New Roman"/>
          <w:kern w:val="0"/>
          <w:sz w:val="24"/>
          <w:szCs w:val="24"/>
          <w:lang w:val="es-ES"/>
          <w14:ligatures w14:val="none"/>
        </w:rPr>
      </w:pPr>
      <w:r>
        <w:rPr>
          <w:noProof/>
          <w:lang w:val="es-ES" w:eastAsia="es-ES"/>
        </w:rPr>
        <w:drawing>
          <wp:inline distT="0" distB="0" distL="0" distR="0" wp14:anchorId="0385400C" wp14:editId="5AC75DA2">
            <wp:extent cx="5612130" cy="1981200"/>
            <wp:effectExtent l="0" t="0" r="7620" b="0"/>
            <wp:docPr id="1659409795"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C484AD5-9422-B484-98C5-09638A526A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79A1E131" w:rsidRPr="00B92405">
        <w:rPr>
          <w:rFonts w:ascii="Calibri" w:eastAsia="MS Mincho" w:hAnsi="Calibri" w:cs="Times New Roman"/>
          <w:kern w:val="0"/>
          <w:sz w:val="24"/>
          <w:szCs w:val="24"/>
          <w:lang w:val="es-ES"/>
          <w14:ligatures w14:val="none"/>
        </w:rPr>
        <w:t xml:space="preserve">Un avance en la entrega de las certificaciones, por lo que el ciudadano puede realizarla en línea. </w:t>
      </w:r>
    </w:p>
    <w:p w14:paraId="0BCBE4C5" w14:textId="77777777" w:rsidR="00D55D2C" w:rsidRDefault="00D55D2C" w:rsidP="00B92405">
      <w:pPr>
        <w:suppressAutoHyphens/>
        <w:autoSpaceDN w:val="0"/>
        <w:spacing w:after="0" w:line="240" w:lineRule="auto"/>
        <w:ind w:right="57"/>
        <w:jc w:val="both"/>
        <w:rPr>
          <w:rFonts w:ascii="Calibri" w:eastAsia="MS Mincho" w:hAnsi="Calibri" w:cs="Times New Roman"/>
          <w:b/>
          <w:color w:val="082A75"/>
          <w:kern w:val="0"/>
          <w:sz w:val="28"/>
          <w:lang w:val="es-ES"/>
          <w14:ligatures w14:val="none"/>
        </w:rPr>
      </w:pPr>
    </w:p>
    <w:p w14:paraId="7A8B4E63" w14:textId="1E8710E8" w:rsidR="00B92405" w:rsidRPr="00B92405" w:rsidRDefault="000F630D" w:rsidP="00B92405">
      <w:pPr>
        <w:suppressAutoHyphens/>
        <w:autoSpaceDN w:val="0"/>
        <w:spacing w:after="0" w:line="240" w:lineRule="auto"/>
        <w:ind w:right="57"/>
        <w:jc w:val="both"/>
        <w:rPr>
          <w:rFonts w:ascii="Calibri" w:eastAsia="MS Mincho" w:hAnsi="Calibri" w:cs="Times New Roman"/>
          <w:kern w:val="0"/>
          <w:sz w:val="24"/>
          <w:szCs w:val="24"/>
          <w:lang w:val="es-ES"/>
          <w14:ligatures w14:val="none"/>
        </w:rPr>
      </w:pPr>
      <w:r>
        <w:rPr>
          <w:noProof/>
          <w:lang w:val="es-ES" w:eastAsia="es-ES"/>
        </w:rPr>
        <w:lastRenderedPageBreak/>
        <w:drawing>
          <wp:inline distT="0" distB="0" distL="0" distR="0" wp14:anchorId="3EA04642" wp14:editId="75709277">
            <wp:extent cx="5612130" cy="2100943"/>
            <wp:effectExtent l="0" t="0" r="7620" b="13970"/>
            <wp:docPr id="1715889785"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729092D-7EDA-DEC2-93F4-A8E2AEF334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79A1E131" w:rsidRPr="00B92405">
        <w:rPr>
          <w:rFonts w:ascii="Calibri" w:eastAsia="MS Mincho" w:hAnsi="Calibri" w:cs="Times New Roman"/>
          <w:kern w:val="0"/>
          <w:sz w:val="24"/>
          <w:szCs w:val="24"/>
          <w:lang w:val="es-ES"/>
          <w14:ligatures w14:val="none"/>
        </w:rPr>
        <w:t xml:space="preserve">Este producto está programado para </w:t>
      </w:r>
      <w:r w:rsidR="3476B66D" w:rsidRPr="00B92405">
        <w:rPr>
          <w:rFonts w:ascii="Calibri" w:eastAsia="MS Mincho" w:hAnsi="Calibri" w:cs="Times New Roman"/>
          <w:kern w:val="0"/>
          <w:sz w:val="24"/>
          <w:szCs w:val="24"/>
          <w:lang w:val="es-ES"/>
          <w14:ligatures w14:val="none"/>
        </w:rPr>
        <w:t>ser</w:t>
      </w:r>
      <w:r w:rsidR="79A1E131" w:rsidRPr="00B92405">
        <w:rPr>
          <w:rFonts w:ascii="Calibri" w:eastAsia="MS Mincho" w:hAnsi="Calibri" w:cs="Times New Roman"/>
          <w:kern w:val="0"/>
          <w:sz w:val="24"/>
          <w:szCs w:val="24"/>
          <w:lang w:val="es-ES"/>
          <w14:ligatures w14:val="none"/>
        </w:rPr>
        <w:t xml:space="preserve"> evaluado en los cuatro trimestres, y este se encarga de la entrega de las certificaciones interinstitucional, de acuerdo con los acuerdos.</w:t>
      </w:r>
    </w:p>
    <w:p w14:paraId="4D4B208E" w14:textId="77777777" w:rsidR="00B92405" w:rsidRPr="00B92405" w:rsidRDefault="00B92405" w:rsidP="00B92405">
      <w:pPr>
        <w:suppressAutoHyphens/>
        <w:autoSpaceDN w:val="0"/>
        <w:spacing w:after="0" w:line="240" w:lineRule="auto"/>
        <w:ind w:right="57"/>
        <w:jc w:val="both"/>
        <w:rPr>
          <w:rFonts w:ascii="Calibri" w:eastAsia="MS Mincho" w:hAnsi="Calibri" w:cs="Times New Roman"/>
          <w:b/>
          <w:color w:val="002060"/>
          <w:kern w:val="0"/>
          <w:sz w:val="25"/>
          <w:szCs w:val="25"/>
          <w:lang w:val="es-ES"/>
          <w14:ligatures w14:val="none"/>
        </w:rPr>
      </w:pPr>
    </w:p>
    <w:p w14:paraId="562CB356" w14:textId="77777777" w:rsidR="00B92405" w:rsidRDefault="00B92405" w:rsidP="00B92405">
      <w:pPr>
        <w:suppressAutoHyphens/>
        <w:autoSpaceDN w:val="0"/>
        <w:spacing w:after="0" w:line="276" w:lineRule="auto"/>
        <w:ind w:right="57"/>
        <w:jc w:val="both"/>
        <w:rPr>
          <w:rFonts w:ascii="Calibri" w:eastAsia="MS Mincho" w:hAnsi="Calibri" w:cs="Times New Roman"/>
          <w:b/>
          <w:kern w:val="0"/>
          <w:sz w:val="25"/>
          <w:szCs w:val="25"/>
          <w:lang w:val="es-ES"/>
          <w14:ligatures w14:val="none"/>
        </w:rPr>
      </w:pPr>
      <w:bookmarkStart w:id="1" w:name="_Hlk130892557"/>
      <w:r w:rsidRPr="00B92405">
        <w:rPr>
          <w:rFonts w:ascii="Calibri" w:eastAsia="MS Mincho" w:hAnsi="Calibri" w:cs="Times New Roman"/>
          <w:b/>
          <w:i/>
          <w:iCs/>
          <w:kern w:val="0"/>
          <w:sz w:val="25"/>
          <w:szCs w:val="25"/>
          <w:u w:val="single"/>
          <w:lang w:val="es-ES"/>
          <w14:ligatures w14:val="none"/>
        </w:rPr>
        <w:t>Área Responsable</w:t>
      </w:r>
      <w:r w:rsidRPr="00B92405">
        <w:rPr>
          <w:rFonts w:ascii="Calibri" w:eastAsia="MS Mincho" w:hAnsi="Calibri" w:cs="Times New Roman"/>
          <w:b/>
          <w:kern w:val="0"/>
          <w:sz w:val="25"/>
          <w:szCs w:val="25"/>
          <w:lang w:val="es-ES"/>
          <w14:ligatures w14:val="none"/>
        </w:rPr>
        <w:t xml:space="preserve">: Relaciones Consulares. </w:t>
      </w:r>
      <w:r w:rsidRPr="00B92405">
        <w:rPr>
          <w:rFonts w:ascii="Calibri" w:eastAsia="MS Mincho" w:hAnsi="Calibri" w:cs="Times New Roman"/>
          <w:b/>
          <w:i/>
          <w:iCs/>
          <w:kern w:val="0"/>
          <w:sz w:val="25"/>
          <w:szCs w:val="25"/>
          <w:u w:val="single"/>
          <w:lang w:val="es-ES"/>
          <w14:ligatures w14:val="none"/>
        </w:rPr>
        <w:t>áreas involucradas</w:t>
      </w:r>
      <w:r w:rsidRPr="00B92405">
        <w:rPr>
          <w:rFonts w:ascii="Calibri" w:eastAsia="MS Mincho" w:hAnsi="Calibri" w:cs="Times New Roman"/>
          <w:b/>
          <w:kern w:val="0"/>
          <w:sz w:val="25"/>
          <w:szCs w:val="25"/>
          <w:lang w:val="es-ES"/>
          <w14:ligatures w14:val="none"/>
        </w:rPr>
        <w:t>: MIREX, MAE Y Emisión y Renovación.</w:t>
      </w:r>
    </w:p>
    <w:p w14:paraId="466AF0E9" w14:textId="77777777" w:rsidR="00D55D2C" w:rsidRPr="00B92405" w:rsidRDefault="00D55D2C" w:rsidP="00B92405">
      <w:pPr>
        <w:suppressAutoHyphens/>
        <w:autoSpaceDN w:val="0"/>
        <w:spacing w:after="0" w:line="276" w:lineRule="auto"/>
        <w:ind w:right="57"/>
        <w:jc w:val="both"/>
        <w:rPr>
          <w:rFonts w:ascii="Calibri" w:eastAsia="MS Mincho" w:hAnsi="Calibri" w:cs="Times New Roman"/>
          <w:b/>
          <w:color w:val="082A75"/>
          <w:kern w:val="0"/>
          <w:sz w:val="28"/>
          <w:lang w:val="es-ES"/>
          <w14:ligatures w14:val="none"/>
        </w:rPr>
      </w:pPr>
    </w:p>
    <w:bookmarkEnd w:id="1"/>
    <w:p w14:paraId="7F632102" w14:textId="55DF96BE" w:rsidR="00B92405" w:rsidRPr="00B92405" w:rsidRDefault="007F3090" w:rsidP="756E8E9E">
      <w:pPr>
        <w:suppressAutoHyphens/>
        <w:autoSpaceDN w:val="0"/>
        <w:spacing w:after="0" w:line="276" w:lineRule="auto"/>
        <w:jc w:val="both"/>
        <w:rPr>
          <w:rFonts w:ascii="Calibri" w:eastAsia="MS Mincho" w:hAnsi="Calibri" w:cs="Times New Roman"/>
          <w:color w:val="000000"/>
          <w:kern w:val="0"/>
          <w:sz w:val="24"/>
          <w:szCs w:val="24"/>
          <w:lang w:val="es-ES" w:eastAsia="es-ES"/>
          <w14:ligatures w14:val="none"/>
        </w:rPr>
      </w:pPr>
      <w:r>
        <w:rPr>
          <w:noProof/>
          <w:lang w:val="es-ES" w:eastAsia="es-ES"/>
        </w:rPr>
        <w:drawing>
          <wp:inline distT="0" distB="0" distL="0" distR="0" wp14:anchorId="7DA6D3B5" wp14:editId="25D06C83">
            <wp:extent cx="5612130" cy="2405743"/>
            <wp:effectExtent l="0" t="0" r="7620" b="13970"/>
            <wp:docPr id="1741584796"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5B1F4A1-4920-40EA-83C6-1272FEBF81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79A1E131" w:rsidRPr="00B92405">
        <w:rPr>
          <w:rFonts w:ascii="Calibri" w:eastAsia="MS Mincho" w:hAnsi="Calibri" w:cs="Times New Roman"/>
          <w:color w:val="000000"/>
          <w:kern w:val="0"/>
          <w:sz w:val="24"/>
          <w:szCs w:val="24"/>
          <w:lang w:val="es-ES" w:eastAsia="es-ES"/>
          <w14:ligatures w14:val="none"/>
        </w:rPr>
        <w:t xml:space="preserve">El departamento de relaciones consulares desde sus inicios empezó con una meta programada de conectar 1 consulado cada trimestre cumpliendo con el compromiso establecido en el programa de política exterior de la actual gestión.  </w:t>
      </w:r>
    </w:p>
    <w:p w14:paraId="3C7C637A" w14:textId="3E0C7EFF" w:rsidR="008915B9" w:rsidRDefault="00B92405" w:rsidP="000F630D">
      <w:pPr>
        <w:autoSpaceDN w:val="0"/>
        <w:spacing w:after="0" w:line="240" w:lineRule="auto"/>
        <w:jc w:val="both"/>
        <w:rPr>
          <w:rFonts w:ascii="Calibri" w:eastAsia="MS Mincho" w:hAnsi="Calibri" w:cs="Times New Roman"/>
          <w:color w:val="000000"/>
          <w:kern w:val="0"/>
          <w:sz w:val="24"/>
          <w:szCs w:val="24"/>
          <w:lang w:val="es-ES" w:eastAsia="es-ES"/>
          <w14:ligatures w14:val="none"/>
        </w:rPr>
      </w:pPr>
      <w:r w:rsidRPr="00B92405">
        <w:rPr>
          <w:rFonts w:ascii="Calibri" w:eastAsia="MS Mincho" w:hAnsi="Calibri" w:cs="Times New Roman"/>
          <w:color w:val="000000"/>
          <w:kern w:val="0"/>
          <w:sz w:val="24"/>
          <w:szCs w:val="24"/>
          <w:lang w:val="es-ES" w:eastAsia="es-ES"/>
          <w14:ligatures w14:val="none"/>
        </w:rPr>
        <w:t xml:space="preserve">En este trimestre se conectó </w:t>
      </w:r>
      <w:r w:rsidR="000F630D">
        <w:rPr>
          <w:rFonts w:ascii="Calibri" w:eastAsia="MS Mincho" w:hAnsi="Calibri" w:cs="Times New Roman"/>
          <w:color w:val="000000"/>
          <w:kern w:val="0"/>
          <w:sz w:val="24"/>
          <w:szCs w:val="24"/>
          <w:lang w:val="es-ES" w:eastAsia="es-ES"/>
          <w14:ligatures w14:val="none"/>
        </w:rPr>
        <w:t xml:space="preserve">dos </w:t>
      </w:r>
      <w:r w:rsidRPr="00B35925">
        <w:rPr>
          <w:rFonts w:ascii="Calibri" w:eastAsia="MS Mincho" w:hAnsi="Calibri" w:cs="Times New Roman"/>
          <w:color w:val="000000"/>
          <w:kern w:val="0"/>
          <w:sz w:val="24"/>
          <w:szCs w:val="24"/>
          <w:lang w:val="es-ES" w:eastAsia="es-ES"/>
          <w14:ligatures w14:val="none"/>
        </w:rPr>
        <w:t>consulado</w:t>
      </w:r>
      <w:r w:rsidR="000F630D">
        <w:rPr>
          <w:rFonts w:ascii="Calibri" w:eastAsia="MS Mincho" w:hAnsi="Calibri" w:cs="Times New Roman"/>
          <w:color w:val="000000"/>
          <w:kern w:val="0"/>
          <w:sz w:val="24"/>
          <w:szCs w:val="24"/>
          <w:lang w:val="es-ES" w:eastAsia="es-ES"/>
          <w14:ligatures w14:val="none"/>
        </w:rPr>
        <w:t>s</w:t>
      </w:r>
      <w:r w:rsidRPr="00B35925">
        <w:rPr>
          <w:rFonts w:ascii="Calibri" w:eastAsia="MS Mincho" w:hAnsi="Calibri" w:cs="Times New Roman"/>
          <w:color w:val="000000"/>
          <w:kern w:val="0"/>
          <w:sz w:val="24"/>
          <w:szCs w:val="24"/>
          <w:lang w:val="es-ES" w:eastAsia="es-ES"/>
          <w14:ligatures w14:val="none"/>
        </w:rPr>
        <w:t xml:space="preserve"> </w:t>
      </w:r>
      <w:r w:rsidR="000F630D">
        <w:rPr>
          <w:rFonts w:ascii="Calibri" w:eastAsia="MS Mincho" w:hAnsi="Calibri" w:cs="Times New Roman"/>
          <w:color w:val="000000"/>
          <w:kern w:val="0"/>
          <w:sz w:val="24"/>
          <w:szCs w:val="24"/>
          <w:lang w:val="es-ES" w:eastAsia="es-ES"/>
          <w14:ligatures w14:val="none"/>
        </w:rPr>
        <w:t>el de</w:t>
      </w:r>
      <w:r w:rsidRPr="00B92405">
        <w:rPr>
          <w:rFonts w:ascii="Calibri" w:eastAsia="MS Mincho" w:hAnsi="Calibri" w:cs="Times New Roman"/>
          <w:color w:val="000000"/>
          <w:kern w:val="0"/>
          <w:sz w:val="24"/>
          <w:szCs w:val="24"/>
          <w:lang w:val="es-ES" w:eastAsia="es-ES"/>
          <w14:ligatures w14:val="none"/>
        </w:rPr>
        <w:t xml:space="preserve"> </w:t>
      </w:r>
      <w:r w:rsidR="00EE4E66" w:rsidRPr="00EE4E66">
        <w:rPr>
          <w:rFonts w:ascii="Calibri" w:eastAsia="MS Mincho" w:hAnsi="Calibri" w:cs="Times New Roman"/>
          <w:color w:val="000000"/>
          <w:kern w:val="0"/>
          <w:sz w:val="24"/>
          <w:szCs w:val="24"/>
          <w:lang w:val="es-ES" w:eastAsia="es-ES"/>
          <w14:ligatures w14:val="none"/>
        </w:rPr>
        <w:t>Frankfurt, Alemania y Praga</w:t>
      </w:r>
      <w:r w:rsidR="00EE4E66">
        <w:rPr>
          <w:rFonts w:ascii="Calibri" w:eastAsia="MS Mincho" w:hAnsi="Calibri" w:cs="Times New Roman"/>
          <w:color w:val="000000"/>
          <w:kern w:val="0"/>
          <w:sz w:val="24"/>
          <w:szCs w:val="24"/>
          <w:lang w:val="es-ES" w:eastAsia="es-ES"/>
          <w14:ligatures w14:val="none"/>
        </w:rPr>
        <w:t>,</w:t>
      </w:r>
      <w:r w:rsidR="00EE4E66" w:rsidRPr="00EE4E66">
        <w:rPr>
          <w:rFonts w:ascii="Calibri" w:eastAsia="MS Mincho" w:hAnsi="Calibri" w:cs="Times New Roman"/>
          <w:color w:val="000000"/>
          <w:kern w:val="0"/>
          <w:sz w:val="24"/>
          <w:szCs w:val="24"/>
          <w:lang w:val="es-ES" w:eastAsia="es-ES"/>
          <w14:ligatures w14:val="none"/>
        </w:rPr>
        <w:t xml:space="preserve"> República Checa</w:t>
      </w:r>
    </w:p>
    <w:p w14:paraId="45EC9785" w14:textId="77777777" w:rsidR="008915B9" w:rsidRDefault="008915B9" w:rsidP="005E4D9B">
      <w:pPr>
        <w:suppressAutoHyphens/>
        <w:autoSpaceDN w:val="0"/>
        <w:spacing w:after="0" w:line="276" w:lineRule="auto"/>
        <w:ind w:right="57"/>
        <w:jc w:val="both"/>
        <w:rPr>
          <w:rFonts w:ascii="Calibri" w:eastAsia="MS Mincho" w:hAnsi="Calibri" w:cs="Times New Roman"/>
          <w:color w:val="000000"/>
          <w:kern w:val="0"/>
          <w:sz w:val="24"/>
          <w:szCs w:val="24"/>
          <w:lang w:val="es-ES" w:eastAsia="es-ES"/>
          <w14:ligatures w14:val="none"/>
        </w:rPr>
      </w:pPr>
    </w:p>
    <w:p w14:paraId="05B9ED70" w14:textId="77777777" w:rsidR="001D1C15" w:rsidRDefault="001D1C15" w:rsidP="005E4D9B">
      <w:pPr>
        <w:suppressAutoHyphens/>
        <w:autoSpaceDN w:val="0"/>
        <w:spacing w:after="0" w:line="276" w:lineRule="auto"/>
        <w:ind w:right="57"/>
        <w:jc w:val="both"/>
        <w:rPr>
          <w:rFonts w:ascii="Calibri" w:eastAsia="MS Mincho" w:hAnsi="Calibri" w:cs="Times New Roman"/>
          <w:color w:val="000000"/>
          <w:kern w:val="0"/>
          <w:sz w:val="24"/>
          <w:szCs w:val="24"/>
          <w:lang w:val="es-ES" w:eastAsia="es-ES"/>
          <w14:ligatures w14:val="none"/>
        </w:rPr>
      </w:pPr>
    </w:p>
    <w:p w14:paraId="6992D008" w14:textId="77777777" w:rsidR="001D1C15" w:rsidRDefault="001D1C15" w:rsidP="005E4D9B">
      <w:pPr>
        <w:suppressAutoHyphens/>
        <w:autoSpaceDN w:val="0"/>
        <w:spacing w:after="0" w:line="276" w:lineRule="auto"/>
        <w:ind w:right="57"/>
        <w:jc w:val="both"/>
        <w:rPr>
          <w:rFonts w:ascii="Calibri" w:eastAsia="MS Mincho" w:hAnsi="Calibri" w:cs="Times New Roman"/>
          <w:color w:val="000000"/>
          <w:kern w:val="0"/>
          <w:sz w:val="24"/>
          <w:szCs w:val="24"/>
          <w:lang w:val="es-ES" w:eastAsia="es-ES"/>
          <w14:ligatures w14:val="none"/>
        </w:rPr>
      </w:pPr>
    </w:p>
    <w:p w14:paraId="02C9190A" w14:textId="77777777" w:rsidR="001D1C15" w:rsidRDefault="001D1C15" w:rsidP="005E4D9B">
      <w:pPr>
        <w:suppressAutoHyphens/>
        <w:autoSpaceDN w:val="0"/>
        <w:spacing w:after="0" w:line="276" w:lineRule="auto"/>
        <w:ind w:right="57"/>
        <w:jc w:val="both"/>
        <w:rPr>
          <w:rFonts w:ascii="Calibri" w:eastAsia="MS Mincho" w:hAnsi="Calibri" w:cs="Times New Roman"/>
          <w:color w:val="000000"/>
          <w:kern w:val="0"/>
          <w:sz w:val="24"/>
          <w:szCs w:val="24"/>
          <w:lang w:val="es-ES" w:eastAsia="es-ES"/>
          <w14:ligatures w14:val="none"/>
        </w:rPr>
      </w:pPr>
    </w:p>
    <w:p w14:paraId="562E4DFD" w14:textId="77777777" w:rsidR="001D1C15" w:rsidRDefault="001D1C15" w:rsidP="005E4D9B">
      <w:pPr>
        <w:suppressAutoHyphens/>
        <w:autoSpaceDN w:val="0"/>
        <w:spacing w:after="0" w:line="276" w:lineRule="auto"/>
        <w:ind w:right="57"/>
        <w:jc w:val="both"/>
        <w:rPr>
          <w:rFonts w:ascii="Calibri" w:eastAsia="MS Mincho" w:hAnsi="Calibri" w:cs="Times New Roman"/>
          <w:color w:val="000000"/>
          <w:kern w:val="0"/>
          <w:sz w:val="24"/>
          <w:szCs w:val="24"/>
          <w:lang w:val="es-ES" w:eastAsia="es-ES"/>
          <w14:ligatures w14:val="none"/>
        </w:rPr>
      </w:pPr>
    </w:p>
    <w:p w14:paraId="517526C9" w14:textId="77777777" w:rsidR="001D1C15" w:rsidRDefault="001D1C15" w:rsidP="005E4D9B">
      <w:pPr>
        <w:suppressAutoHyphens/>
        <w:autoSpaceDN w:val="0"/>
        <w:spacing w:after="0" w:line="276" w:lineRule="auto"/>
        <w:ind w:right="57"/>
        <w:jc w:val="both"/>
        <w:rPr>
          <w:rFonts w:ascii="Calibri" w:eastAsia="MS Mincho" w:hAnsi="Calibri" w:cs="Times New Roman"/>
          <w:color w:val="000000"/>
          <w:kern w:val="0"/>
          <w:sz w:val="24"/>
          <w:szCs w:val="24"/>
          <w:lang w:val="es-ES" w:eastAsia="es-ES"/>
          <w14:ligatures w14:val="none"/>
        </w:rPr>
      </w:pPr>
    </w:p>
    <w:p w14:paraId="2560C615" w14:textId="77777777" w:rsidR="001D1C15" w:rsidRDefault="001D1C15" w:rsidP="005E4D9B">
      <w:pPr>
        <w:suppressAutoHyphens/>
        <w:autoSpaceDN w:val="0"/>
        <w:spacing w:after="0" w:line="276" w:lineRule="auto"/>
        <w:ind w:right="57"/>
        <w:jc w:val="both"/>
        <w:rPr>
          <w:rFonts w:ascii="Calibri" w:eastAsia="MS Mincho" w:hAnsi="Calibri" w:cs="Times New Roman"/>
          <w:color w:val="000000"/>
          <w:kern w:val="0"/>
          <w:sz w:val="24"/>
          <w:szCs w:val="24"/>
          <w:lang w:val="es-ES" w:eastAsia="es-ES"/>
          <w14:ligatures w14:val="none"/>
        </w:rPr>
      </w:pPr>
    </w:p>
    <w:p w14:paraId="550F18D4" w14:textId="0C9BC7DB" w:rsidR="005E4D9B" w:rsidRPr="001D1C15" w:rsidRDefault="005E4D9B" w:rsidP="001D1C15">
      <w:pPr>
        <w:suppressAutoHyphens/>
        <w:autoSpaceDN w:val="0"/>
        <w:spacing w:after="0" w:line="276" w:lineRule="auto"/>
        <w:ind w:right="57"/>
        <w:jc w:val="both"/>
        <w:rPr>
          <w:rFonts w:ascii="Calibri" w:eastAsia="MS Mincho" w:hAnsi="Calibri" w:cs="Times New Roman"/>
          <w:b/>
          <w:color w:val="082A75"/>
          <w:kern w:val="0"/>
          <w:sz w:val="28"/>
          <w:lang w:val="es-ES"/>
          <w14:ligatures w14:val="none"/>
        </w:rPr>
      </w:pPr>
      <w:r w:rsidRPr="00B92405">
        <w:rPr>
          <w:rFonts w:ascii="Calibri" w:eastAsia="MS Mincho" w:hAnsi="Calibri" w:cs="Times New Roman"/>
          <w:b/>
          <w:i/>
          <w:iCs/>
          <w:kern w:val="0"/>
          <w:sz w:val="25"/>
          <w:szCs w:val="25"/>
          <w:u w:val="single"/>
          <w:lang w:val="es-ES"/>
          <w14:ligatures w14:val="none"/>
        </w:rPr>
        <w:lastRenderedPageBreak/>
        <w:t>Área Responsable</w:t>
      </w:r>
      <w:r w:rsidRPr="00B92405">
        <w:rPr>
          <w:rFonts w:ascii="Calibri" w:eastAsia="MS Mincho" w:hAnsi="Calibri" w:cs="Times New Roman"/>
          <w:b/>
          <w:kern w:val="0"/>
          <w:sz w:val="25"/>
          <w:szCs w:val="25"/>
          <w:lang w:val="es-ES"/>
          <w14:ligatures w14:val="none"/>
        </w:rPr>
        <w:t xml:space="preserve">: </w:t>
      </w:r>
      <w:r>
        <w:rPr>
          <w:rFonts w:ascii="Calibri" w:eastAsia="MS Mincho" w:hAnsi="Calibri" w:cs="Times New Roman"/>
          <w:b/>
          <w:kern w:val="0"/>
          <w:sz w:val="25"/>
          <w:szCs w:val="25"/>
          <w:lang w:val="es-ES"/>
          <w14:ligatures w14:val="none"/>
        </w:rPr>
        <w:t>Supervisión y control en las operaciones</w:t>
      </w:r>
      <w:r w:rsidRPr="00B92405">
        <w:rPr>
          <w:rFonts w:ascii="Calibri" w:eastAsia="MS Mincho" w:hAnsi="Calibri" w:cs="Times New Roman"/>
          <w:b/>
          <w:kern w:val="0"/>
          <w:sz w:val="25"/>
          <w:szCs w:val="25"/>
          <w:lang w:val="es-ES"/>
          <w14:ligatures w14:val="none"/>
        </w:rPr>
        <w:t xml:space="preserve">. </w:t>
      </w:r>
      <w:r w:rsidRPr="00B92405">
        <w:rPr>
          <w:rFonts w:ascii="Calibri" w:eastAsia="MS Mincho" w:hAnsi="Calibri" w:cs="Times New Roman"/>
          <w:b/>
          <w:i/>
          <w:iCs/>
          <w:kern w:val="0"/>
          <w:sz w:val="25"/>
          <w:szCs w:val="25"/>
          <w:u w:val="single"/>
          <w:lang w:val="es-ES"/>
          <w14:ligatures w14:val="none"/>
        </w:rPr>
        <w:t>áreas involucradas</w:t>
      </w:r>
      <w:r w:rsidRPr="00B92405">
        <w:rPr>
          <w:rFonts w:ascii="Calibri" w:eastAsia="MS Mincho" w:hAnsi="Calibri" w:cs="Times New Roman"/>
          <w:b/>
          <w:kern w:val="0"/>
          <w:sz w:val="25"/>
          <w:szCs w:val="25"/>
          <w:lang w:val="es-ES"/>
          <w14:ligatures w14:val="none"/>
        </w:rPr>
        <w:t xml:space="preserve">: </w:t>
      </w:r>
      <w:r>
        <w:rPr>
          <w:rFonts w:ascii="Calibri" w:eastAsia="MS Mincho" w:hAnsi="Calibri" w:cs="Times New Roman"/>
          <w:b/>
          <w:kern w:val="0"/>
          <w:sz w:val="25"/>
          <w:szCs w:val="25"/>
          <w:lang w:val="es-ES"/>
          <w14:ligatures w14:val="none"/>
        </w:rPr>
        <w:t xml:space="preserve">Relaciones Consular </w:t>
      </w:r>
      <w:r w:rsidRPr="00B92405">
        <w:rPr>
          <w:rFonts w:ascii="Calibri" w:eastAsia="MS Mincho" w:hAnsi="Calibri" w:cs="Times New Roman"/>
          <w:b/>
          <w:kern w:val="0"/>
          <w:sz w:val="25"/>
          <w:szCs w:val="25"/>
          <w:lang w:val="es-ES"/>
          <w14:ligatures w14:val="none"/>
        </w:rPr>
        <w:t>Y Emisión y Renovación.</w:t>
      </w:r>
    </w:p>
    <w:p w14:paraId="2D258C3E" w14:textId="4F09D591" w:rsidR="00B5074A" w:rsidRDefault="00B35925" w:rsidP="00662FEE">
      <w:pPr>
        <w:suppressAutoHyphens/>
        <w:autoSpaceDN w:val="0"/>
        <w:spacing w:after="0" w:line="240" w:lineRule="auto"/>
        <w:ind w:right="-425"/>
        <w:rPr>
          <w:rFonts w:ascii="Calibri" w:eastAsia="MS Mincho" w:hAnsi="Calibri" w:cs="Times New Roman"/>
          <w:b/>
          <w:color w:val="002060"/>
          <w:kern w:val="0"/>
          <w:sz w:val="25"/>
          <w:szCs w:val="25"/>
          <w:lang w:val="es-ES"/>
          <w14:ligatures w14:val="none"/>
        </w:rPr>
      </w:pPr>
      <w:r>
        <w:rPr>
          <w:noProof/>
          <w:lang w:val="es-ES" w:eastAsia="es-ES"/>
        </w:rPr>
        <w:drawing>
          <wp:inline distT="0" distB="0" distL="0" distR="0" wp14:anchorId="47530241" wp14:editId="3DDB6F5B">
            <wp:extent cx="5612130" cy="2133600"/>
            <wp:effectExtent l="0" t="0" r="0" b="0"/>
            <wp:docPr id="2057359852"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0E8DFC2-E663-42C9-BA22-726F07B754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29DEBBE" w14:textId="04DA5EDA" w:rsidR="00662FEE" w:rsidRDefault="00662FEE" w:rsidP="00D86151">
      <w:pPr>
        <w:suppressAutoHyphens/>
        <w:autoSpaceDN w:val="0"/>
        <w:spacing w:after="0" w:line="240" w:lineRule="auto"/>
        <w:ind w:right="-425"/>
        <w:rPr>
          <w:rFonts w:ascii="Calibri" w:eastAsia="MS Mincho" w:hAnsi="Calibri" w:cs="Times New Roman"/>
          <w:kern w:val="0"/>
          <w:sz w:val="24"/>
          <w:szCs w:val="24"/>
          <w:lang w:val="es-ES"/>
          <w14:ligatures w14:val="none"/>
        </w:rPr>
      </w:pPr>
      <w:r w:rsidRPr="00662FEE">
        <w:rPr>
          <w:rFonts w:ascii="Calibri" w:eastAsia="MS Mincho" w:hAnsi="Calibri" w:cs="Times New Roman"/>
          <w:kern w:val="0"/>
          <w:sz w:val="24"/>
          <w:szCs w:val="24"/>
          <w:lang w:val="es-ES"/>
          <w14:ligatures w14:val="none"/>
        </w:rPr>
        <w:t>Este producto es para elaborarlo en los trimestres</w:t>
      </w:r>
      <w:r w:rsidR="0071008B">
        <w:rPr>
          <w:rFonts w:ascii="Calibri" w:eastAsia="MS Mincho" w:hAnsi="Calibri" w:cs="Times New Roman"/>
          <w:kern w:val="0"/>
          <w:sz w:val="24"/>
          <w:szCs w:val="24"/>
          <w:lang w:val="es-ES"/>
          <w14:ligatures w14:val="none"/>
        </w:rPr>
        <w:t xml:space="preserve">, no fue cumplido por falta de respuesta de otra área. </w:t>
      </w:r>
    </w:p>
    <w:p w14:paraId="6C4D0973" w14:textId="77777777" w:rsidR="00D86151" w:rsidRPr="00D86151" w:rsidRDefault="00D86151" w:rsidP="00D86151">
      <w:pPr>
        <w:suppressAutoHyphens/>
        <w:autoSpaceDN w:val="0"/>
        <w:spacing w:after="0" w:line="240" w:lineRule="auto"/>
        <w:ind w:right="-425"/>
        <w:rPr>
          <w:rFonts w:ascii="Calibri" w:eastAsia="MS Mincho" w:hAnsi="Calibri" w:cs="Times New Roman"/>
          <w:kern w:val="0"/>
          <w:sz w:val="24"/>
          <w:szCs w:val="24"/>
          <w:lang w:val="es-ES"/>
          <w14:ligatures w14:val="none"/>
        </w:rPr>
      </w:pPr>
    </w:p>
    <w:p w14:paraId="04CC23B1" w14:textId="2015B2DD" w:rsidR="00B35925" w:rsidRDefault="00B35925" w:rsidP="00662FEE">
      <w:pPr>
        <w:suppressAutoHyphens/>
        <w:autoSpaceDN w:val="0"/>
        <w:spacing w:after="0" w:line="240" w:lineRule="auto"/>
        <w:ind w:right="-425"/>
        <w:rPr>
          <w:rFonts w:ascii="Calibri" w:eastAsia="MS Mincho" w:hAnsi="Calibri" w:cs="Times New Roman"/>
          <w:b/>
          <w:color w:val="002060"/>
          <w:kern w:val="0"/>
          <w:sz w:val="25"/>
          <w:szCs w:val="25"/>
          <w:lang w:val="es-ES"/>
          <w14:ligatures w14:val="none"/>
        </w:rPr>
      </w:pPr>
      <w:r>
        <w:rPr>
          <w:noProof/>
          <w:lang w:val="es-ES" w:eastAsia="es-ES"/>
        </w:rPr>
        <w:drawing>
          <wp:inline distT="0" distB="0" distL="0" distR="0" wp14:anchorId="770A1CC1" wp14:editId="46304E27">
            <wp:extent cx="5612130" cy="1987550"/>
            <wp:effectExtent l="0" t="0" r="7620" b="12700"/>
            <wp:docPr id="1397146037"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2C54394-6E00-B721-BFFD-3C5D817E21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9F03D86" w14:textId="77777777" w:rsidR="0071008B" w:rsidRDefault="0071008B" w:rsidP="0071008B">
      <w:pPr>
        <w:suppressAutoHyphens/>
        <w:autoSpaceDN w:val="0"/>
        <w:spacing w:after="0" w:line="240" w:lineRule="auto"/>
        <w:ind w:right="-425"/>
        <w:rPr>
          <w:rFonts w:ascii="Calibri" w:eastAsia="MS Mincho" w:hAnsi="Calibri" w:cs="Times New Roman"/>
          <w:kern w:val="0"/>
          <w:sz w:val="24"/>
          <w:szCs w:val="24"/>
          <w:lang w:val="es-ES"/>
          <w14:ligatures w14:val="none"/>
        </w:rPr>
      </w:pPr>
      <w:r w:rsidRPr="00662FEE">
        <w:rPr>
          <w:rFonts w:ascii="Calibri" w:eastAsia="MS Mincho" w:hAnsi="Calibri" w:cs="Times New Roman"/>
          <w:kern w:val="0"/>
          <w:sz w:val="24"/>
          <w:szCs w:val="24"/>
          <w:lang w:val="es-ES"/>
          <w14:ligatures w14:val="none"/>
        </w:rPr>
        <w:t>Este producto es para elaborarlo en los trimestres</w:t>
      </w:r>
      <w:r>
        <w:rPr>
          <w:rFonts w:ascii="Calibri" w:eastAsia="MS Mincho" w:hAnsi="Calibri" w:cs="Times New Roman"/>
          <w:kern w:val="0"/>
          <w:sz w:val="24"/>
          <w:szCs w:val="24"/>
          <w:lang w:val="es-ES"/>
          <w14:ligatures w14:val="none"/>
        </w:rPr>
        <w:t xml:space="preserve">, no fue cumplido por falta de respuesta de otra área. </w:t>
      </w:r>
    </w:p>
    <w:p w14:paraId="47DEC562" w14:textId="77777777" w:rsidR="001D1C15" w:rsidRDefault="001D1C15" w:rsidP="00B92405">
      <w:pPr>
        <w:suppressAutoHyphens/>
        <w:autoSpaceDN w:val="0"/>
        <w:spacing w:after="200" w:line="276" w:lineRule="auto"/>
        <w:ind w:right="-427"/>
        <w:rPr>
          <w:rFonts w:ascii="Calibri" w:eastAsia="MS Mincho" w:hAnsi="Calibri" w:cs="Times New Roman"/>
          <w:b/>
          <w:color w:val="002060"/>
          <w:kern w:val="0"/>
          <w:sz w:val="25"/>
          <w:szCs w:val="25"/>
          <w:lang w:val="es-ES"/>
          <w14:ligatures w14:val="none"/>
        </w:rPr>
      </w:pPr>
    </w:p>
    <w:p w14:paraId="6D651F8D" w14:textId="77777777" w:rsidR="003D356D" w:rsidRDefault="003D356D" w:rsidP="00B92405">
      <w:pPr>
        <w:suppressAutoHyphens/>
        <w:autoSpaceDN w:val="0"/>
        <w:spacing w:after="200" w:line="276" w:lineRule="auto"/>
        <w:ind w:right="-427"/>
        <w:rPr>
          <w:rFonts w:ascii="Calibri" w:eastAsia="MS Mincho" w:hAnsi="Calibri" w:cs="Times New Roman"/>
          <w:b/>
          <w:color w:val="002060"/>
          <w:kern w:val="0"/>
          <w:sz w:val="25"/>
          <w:szCs w:val="25"/>
          <w:lang w:val="es-ES"/>
          <w14:ligatures w14:val="none"/>
        </w:rPr>
      </w:pPr>
    </w:p>
    <w:p w14:paraId="5B784FF8" w14:textId="77777777" w:rsidR="003D356D" w:rsidRDefault="003D356D" w:rsidP="00B92405">
      <w:pPr>
        <w:suppressAutoHyphens/>
        <w:autoSpaceDN w:val="0"/>
        <w:spacing w:after="200" w:line="276" w:lineRule="auto"/>
        <w:ind w:right="-427"/>
        <w:rPr>
          <w:rFonts w:ascii="Calibri" w:eastAsia="MS Mincho" w:hAnsi="Calibri" w:cs="Times New Roman"/>
          <w:b/>
          <w:color w:val="002060"/>
          <w:kern w:val="0"/>
          <w:sz w:val="25"/>
          <w:szCs w:val="25"/>
          <w:lang w:val="es-ES"/>
          <w14:ligatures w14:val="none"/>
        </w:rPr>
      </w:pPr>
    </w:p>
    <w:p w14:paraId="31A0BEBA" w14:textId="77777777" w:rsidR="003D356D" w:rsidRDefault="003D356D" w:rsidP="00B92405">
      <w:pPr>
        <w:suppressAutoHyphens/>
        <w:autoSpaceDN w:val="0"/>
        <w:spacing w:after="200" w:line="276" w:lineRule="auto"/>
        <w:ind w:right="-427"/>
        <w:rPr>
          <w:rFonts w:ascii="Calibri" w:eastAsia="MS Mincho" w:hAnsi="Calibri" w:cs="Times New Roman"/>
          <w:b/>
          <w:color w:val="002060"/>
          <w:kern w:val="0"/>
          <w:sz w:val="25"/>
          <w:szCs w:val="25"/>
          <w:lang w:val="es-ES"/>
          <w14:ligatures w14:val="none"/>
        </w:rPr>
      </w:pPr>
    </w:p>
    <w:p w14:paraId="7EC1B30B" w14:textId="77777777" w:rsidR="003D356D" w:rsidRDefault="003D356D" w:rsidP="00B92405">
      <w:pPr>
        <w:suppressAutoHyphens/>
        <w:autoSpaceDN w:val="0"/>
        <w:spacing w:after="200" w:line="276" w:lineRule="auto"/>
        <w:ind w:right="-427"/>
        <w:rPr>
          <w:rFonts w:ascii="Calibri" w:eastAsia="MS Mincho" w:hAnsi="Calibri" w:cs="Times New Roman"/>
          <w:b/>
          <w:color w:val="002060"/>
          <w:kern w:val="0"/>
          <w:sz w:val="25"/>
          <w:szCs w:val="25"/>
          <w:lang w:val="es-ES"/>
          <w14:ligatures w14:val="none"/>
        </w:rPr>
      </w:pPr>
    </w:p>
    <w:p w14:paraId="67FEA627" w14:textId="77777777" w:rsidR="003D356D" w:rsidRDefault="003D356D" w:rsidP="00B92405">
      <w:pPr>
        <w:suppressAutoHyphens/>
        <w:autoSpaceDN w:val="0"/>
        <w:spacing w:after="200" w:line="276" w:lineRule="auto"/>
        <w:ind w:right="-427"/>
        <w:rPr>
          <w:rFonts w:ascii="Calibri" w:eastAsia="MS Mincho" w:hAnsi="Calibri" w:cs="Times New Roman"/>
          <w:b/>
          <w:color w:val="002060"/>
          <w:kern w:val="0"/>
          <w:sz w:val="25"/>
          <w:szCs w:val="25"/>
          <w:lang w:val="es-ES"/>
          <w14:ligatures w14:val="none"/>
        </w:rPr>
      </w:pPr>
    </w:p>
    <w:p w14:paraId="2F391B6F" w14:textId="77777777" w:rsidR="003D356D" w:rsidRDefault="003D356D" w:rsidP="00B92405">
      <w:pPr>
        <w:suppressAutoHyphens/>
        <w:autoSpaceDN w:val="0"/>
        <w:spacing w:after="200" w:line="276" w:lineRule="auto"/>
        <w:ind w:right="-427"/>
        <w:rPr>
          <w:rFonts w:ascii="Calibri" w:eastAsia="MS Mincho" w:hAnsi="Calibri" w:cs="Times New Roman"/>
          <w:b/>
          <w:color w:val="002060"/>
          <w:kern w:val="0"/>
          <w:sz w:val="25"/>
          <w:szCs w:val="25"/>
          <w:lang w:val="es-ES"/>
          <w14:ligatures w14:val="none"/>
        </w:rPr>
      </w:pPr>
    </w:p>
    <w:p w14:paraId="3CDE2F11" w14:textId="77777777" w:rsidR="003D356D" w:rsidRDefault="003D356D" w:rsidP="00B92405">
      <w:pPr>
        <w:suppressAutoHyphens/>
        <w:autoSpaceDN w:val="0"/>
        <w:spacing w:after="200" w:line="276" w:lineRule="auto"/>
        <w:ind w:right="-427"/>
        <w:rPr>
          <w:rFonts w:ascii="Calibri" w:eastAsia="MS Mincho" w:hAnsi="Calibri" w:cs="Times New Roman"/>
          <w:b/>
          <w:color w:val="002060"/>
          <w:kern w:val="0"/>
          <w:sz w:val="25"/>
          <w:szCs w:val="25"/>
          <w:lang w:val="es-ES"/>
          <w14:ligatures w14:val="none"/>
        </w:rPr>
      </w:pPr>
    </w:p>
    <w:p w14:paraId="32C06C6E" w14:textId="77777777" w:rsidR="003D356D" w:rsidRDefault="003D356D" w:rsidP="00B92405">
      <w:pPr>
        <w:suppressAutoHyphens/>
        <w:autoSpaceDN w:val="0"/>
        <w:spacing w:after="200" w:line="276" w:lineRule="auto"/>
        <w:ind w:right="-427"/>
        <w:rPr>
          <w:rFonts w:ascii="Calibri" w:eastAsia="MS Mincho" w:hAnsi="Calibri" w:cs="Times New Roman"/>
          <w:b/>
          <w:color w:val="002060"/>
          <w:kern w:val="0"/>
          <w:sz w:val="25"/>
          <w:szCs w:val="25"/>
          <w:lang w:val="es-ES"/>
          <w14:ligatures w14:val="none"/>
        </w:rPr>
      </w:pPr>
    </w:p>
    <w:p w14:paraId="3AB2EA51" w14:textId="72CE432E" w:rsidR="00B92405" w:rsidRPr="00B92405" w:rsidRDefault="00B92405" w:rsidP="00B92405">
      <w:pPr>
        <w:suppressAutoHyphens/>
        <w:autoSpaceDN w:val="0"/>
        <w:spacing w:after="200" w:line="276" w:lineRule="auto"/>
        <w:ind w:right="-427"/>
        <w:rPr>
          <w:rFonts w:ascii="Calibri" w:eastAsia="MS Mincho" w:hAnsi="Calibri" w:cs="Times New Roman"/>
          <w:b/>
          <w:color w:val="002060"/>
          <w:kern w:val="0"/>
          <w:sz w:val="25"/>
          <w:szCs w:val="25"/>
          <w:lang w:val="es-ES"/>
          <w14:ligatures w14:val="none"/>
        </w:rPr>
      </w:pPr>
      <w:r w:rsidRPr="00B92405">
        <w:rPr>
          <w:rFonts w:ascii="Calibri" w:eastAsia="MS Mincho" w:hAnsi="Calibri" w:cs="Times New Roman"/>
          <w:b/>
          <w:color w:val="002060"/>
          <w:kern w:val="0"/>
          <w:sz w:val="25"/>
          <w:szCs w:val="25"/>
          <w:lang w:val="es-ES"/>
          <w14:ligatures w14:val="none"/>
        </w:rPr>
        <w:lastRenderedPageBreak/>
        <w:t>Eje 2. Fortalecimiento Institucional, estos son los productos y ares correspondientes.</w:t>
      </w:r>
    </w:p>
    <w:p w14:paraId="1BF2193F" w14:textId="77777777" w:rsidR="0047264A" w:rsidRDefault="00B92405" w:rsidP="00D86151">
      <w:pPr>
        <w:suppressAutoHyphens/>
        <w:autoSpaceDN w:val="0"/>
        <w:spacing w:after="0" w:line="276" w:lineRule="auto"/>
        <w:ind w:right="57"/>
        <w:rPr>
          <w:rFonts w:ascii="Calibri" w:eastAsia="MS Mincho" w:hAnsi="Calibri" w:cs="Times New Roman"/>
          <w:b/>
          <w:i/>
          <w:iCs/>
          <w:kern w:val="0"/>
          <w:sz w:val="25"/>
          <w:szCs w:val="25"/>
          <w:u w:val="single"/>
          <w:lang w:val="es-ES"/>
          <w14:ligatures w14:val="none"/>
        </w:rPr>
      </w:pPr>
      <w:r w:rsidRPr="00B92405">
        <w:rPr>
          <w:rFonts w:ascii="Calibri" w:eastAsia="MS Mincho" w:hAnsi="Calibri" w:cs="Times New Roman"/>
          <w:b/>
          <w:i/>
          <w:iCs/>
          <w:kern w:val="0"/>
          <w:sz w:val="25"/>
          <w:szCs w:val="25"/>
          <w:u w:val="single"/>
          <w:lang w:val="es-ES"/>
          <w14:ligatures w14:val="none"/>
        </w:rPr>
        <w:t xml:space="preserve">Área Responsable: </w:t>
      </w:r>
      <w:r w:rsidR="00AE6147">
        <w:rPr>
          <w:rFonts w:ascii="Calibri" w:eastAsia="MS Mincho" w:hAnsi="Calibri" w:cs="Times New Roman"/>
          <w:b/>
          <w:i/>
          <w:iCs/>
          <w:kern w:val="0"/>
          <w:sz w:val="25"/>
          <w:szCs w:val="25"/>
          <w:u w:val="single"/>
          <w:lang w:val="es-ES"/>
          <w14:ligatures w14:val="none"/>
        </w:rPr>
        <w:t>J</w:t>
      </w:r>
      <w:r w:rsidR="00AE6147" w:rsidRPr="00B92405">
        <w:rPr>
          <w:rFonts w:ascii="Calibri" w:eastAsia="MS Mincho" w:hAnsi="Calibri" w:cs="Times New Roman"/>
          <w:b/>
          <w:i/>
          <w:iCs/>
          <w:kern w:val="0"/>
          <w:sz w:val="25"/>
          <w:szCs w:val="25"/>
          <w:u w:val="single"/>
          <w:lang w:val="es-ES"/>
          <w14:ligatures w14:val="none"/>
        </w:rPr>
        <w:t>urídico</w:t>
      </w:r>
      <w:r w:rsidRPr="00B92405">
        <w:rPr>
          <w:rFonts w:ascii="Calibri" w:eastAsia="MS Mincho" w:hAnsi="Calibri" w:cs="Times New Roman"/>
          <w:b/>
          <w:i/>
          <w:iCs/>
          <w:kern w:val="0"/>
          <w:sz w:val="25"/>
          <w:szCs w:val="25"/>
          <w:u w:val="single"/>
          <w:lang w:val="es-ES"/>
          <w14:ligatures w14:val="none"/>
        </w:rPr>
        <w:t>. áreas Involucrada: MAE.</w:t>
      </w:r>
      <w:r w:rsidR="0047264A">
        <w:rPr>
          <w:rFonts w:ascii="Calibri" w:eastAsia="MS Mincho" w:hAnsi="Calibri" w:cs="Times New Roman"/>
          <w:b/>
          <w:i/>
          <w:iCs/>
          <w:kern w:val="0"/>
          <w:sz w:val="25"/>
          <w:szCs w:val="25"/>
          <w:u w:val="single"/>
          <w:lang w:val="es-ES"/>
          <w14:ligatures w14:val="none"/>
        </w:rPr>
        <w:t xml:space="preserve">   </w:t>
      </w:r>
    </w:p>
    <w:p w14:paraId="7A6439E8" w14:textId="15A77F72" w:rsidR="00AE6147" w:rsidRDefault="00AD5989" w:rsidP="00B92405">
      <w:pPr>
        <w:suppressAutoHyphens/>
        <w:autoSpaceDN w:val="0"/>
        <w:spacing w:after="0" w:line="276" w:lineRule="auto"/>
        <w:ind w:right="57"/>
        <w:jc w:val="both"/>
        <w:rPr>
          <w:rFonts w:ascii="Calibri" w:eastAsia="MS Mincho" w:hAnsi="Calibri" w:cs="Times New Roman"/>
          <w:b/>
          <w:i/>
          <w:iCs/>
          <w:kern w:val="0"/>
          <w:sz w:val="25"/>
          <w:szCs w:val="25"/>
          <w:u w:val="single"/>
          <w:lang w:val="es-ES"/>
          <w14:ligatures w14:val="none"/>
        </w:rPr>
      </w:pPr>
      <w:r>
        <w:rPr>
          <w:noProof/>
          <w:lang w:val="es-ES" w:eastAsia="es-ES"/>
        </w:rPr>
        <w:drawing>
          <wp:inline distT="0" distB="0" distL="0" distR="0" wp14:anchorId="55D0F481" wp14:editId="358502C3">
            <wp:extent cx="5519420" cy="2536371"/>
            <wp:effectExtent l="0" t="0" r="5080" b="16510"/>
            <wp:docPr id="1455285650"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285ACCE-7FE4-4E5C-94E3-F1D5A861E9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E0C814F" w14:textId="77777777" w:rsidR="00AE6147" w:rsidRPr="00B92405" w:rsidRDefault="00AE6147" w:rsidP="00AE6147">
      <w:pPr>
        <w:suppressAutoHyphens/>
        <w:autoSpaceDN w:val="0"/>
        <w:spacing w:after="0" w:line="240" w:lineRule="auto"/>
        <w:jc w:val="both"/>
        <w:rPr>
          <w:rFonts w:ascii="Calibri" w:eastAsia="MS Mincho" w:hAnsi="Calibri" w:cs="Times New Roman"/>
          <w:kern w:val="0"/>
          <w:sz w:val="24"/>
          <w:szCs w:val="24"/>
          <w:lang w:val="es-ES"/>
          <w14:ligatures w14:val="none"/>
        </w:rPr>
      </w:pPr>
      <w:r>
        <w:rPr>
          <w:rFonts w:ascii="Calibri" w:eastAsia="MS Mincho" w:hAnsi="Calibri" w:cs="Times New Roman"/>
          <w:kern w:val="0"/>
          <w:sz w:val="24"/>
          <w:szCs w:val="24"/>
          <w:lang w:val="es-ES"/>
          <w14:ligatures w14:val="none"/>
        </w:rPr>
        <w:t>Este producto, es para darle seguimiento trimestral.</w:t>
      </w:r>
    </w:p>
    <w:p w14:paraId="200B3750" w14:textId="77777777" w:rsidR="009E7D41" w:rsidRDefault="009E7D41" w:rsidP="00B92405">
      <w:pPr>
        <w:suppressAutoHyphens/>
        <w:autoSpaceDN w:val="0"/>
        <w:spacing w:after="0" w:line="276" w:lineRule="auto"/>
        <w:ind w:right="57"/>
        <w:jc w:val="both"/>
        <w:rPr>
          <w:rFonts w:ascii="Calibri" w:eastAsia="MS Mincho" w:hAnsi="Calibri" w:cs="Times New Roman"/>
          <w:b/>
          <w:i/>
          <w:iCs/>
          <w:kern w:val="0"/>
          <w:sz w:val="25"/>
          <w:szCs w:val="25"/>
          <w:u w:val="single"/>
          <w:lang w:val="es-ES"/>
          <w14:ligatures w14:val="none"/>
        </w:rPr>
      </w:pPr>
    </w:p>
    <w:p w14:paraId="4974D9CD" w14:textId="0BDDC5DF" w:rsidR="00AE6147" w:rsidRDefault="00AD5989" w:rsidP="00B92405">
      <w:pPr>
        <w:suppressAutoHyphens/>
        <w:autoSpaceDN w:val="0"/>
        <w:spacing w:after="0" w:line="276" w:lineRule="auto"/>
        <w:ind w:right="57"/>
        <w:jc w:val="both"/>
        <w:rPr>
          <w:rFonts w:ascii="Calibri" w:eastAsia="MS Mincho" w:hAnsi="Calibri" w:cs="Times New Roman"/>
          <w:kern w:val="0"/>
          <w:sz w:val="24"/>
          <w:szCs w:val="24"/>
          <w:lang w:val="es-ES"/>
          <w14:ligatures w14:val="none"/>
        </w:rPr>
      </w:pPr>
      <w:r>
        <w:rPr>
          <w:noProof/>
          <w:lang w:val="es-ES" w:eastAsia="es-ES"/>
        </w:rPr>
        <w:drawing>
          <wp:inline distT="0" distB="0" distL="0" distR="0" wp14:anchorId="55FCAEBD" wp14:editId="4F1A23C5">
            <wp:extent cx="5600700" cy="1992086"/>
            <wp:effectExtent l="0" t="0" r="0" b="8255"/>
            <wp:docPr id="2104589712"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0E4F3A5-205D-43E3-B2D4-BF03788E6F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3476B66D" w:rsidRPr="00AE6147">
        <w:rPr>
          <w:rFonts w:ascii="Calibri" w:eastAsia="MS Mincho" w:hAnsi="Calibri" w:cs="Times New Roman"/>
          <w:kern w:val="0"/>
          <w:sz w:val="24"/>
          <w:szCs w:val="24"/>
          <w:lang w:val="es-ES"/>
          <w14:ligatures w14:val="none"/>
        </w:rPr>
        <w:t>Este producto es para darle seguimiento los Trimestres 3 y 4.</w:t>
      </w:r>
    </w:p>
    <w:p w14:paraId="6747693A" w14:textId="77777777" w:rsidR="008915B9" w:rsidRDefault="008915B9" w:rsidP="00B92405">
      <w:pPr>
        <w:suppressAutoHyphens/>
        <w:autoSpaceDN w:val="0"/>
        <w:spacing w:after="0" w:line="276" w:lineRule="auto"/>
        <w:ind w:right="57"/>
        <w:jc w:val="both"/>
        <w:rPr>
          <w:rFonts w:ascii="Calibri" w:eastAsia="MS Mincho" w:hAnsi="Calibri" w:cs="Times New Roman"/>
          <w:b/>
          <w:i/>
          <w:iCs/>
          <w:kern w:val="0"/>
          <w:sz w:val="25"/>
          <w:szCs w:val="25"/>
          <w:u w:val="single"/>
          <w:lang w:val="es-ES"/>
          <w14:ligatures w14:val="none"/>
        </w:rPr>
      </w:pPr>
    </w:p>
    <w:p w14:paraId="7CB6B4ED" w14:textId="15729193" w:rsidR="00B92405" w:rsidRPr="00B92405" w:rsidRDefault="00B92405" w:rsidP="00B92405">
      <w:pPr>
        <w:suppressAutoHyphens/>
        <w:autoSpaceDN w:val="0"/>
        <w:spacing w:after="0" w:line="276" w:lineRule="auto"/>
        <w:ind w:right="57"/>
        <w:jc w:val="both"/>
        <w:rPr>
          <w:rFonts w:ascii="Calibri" w:eastAsia="MS Mincho" w:hAnsi="Calibri" w:cs="Times New Roman"/>
          <w:b/>
          <w:i/>
          <w:iCs/>
          <w:kern w:val="0"/>
          <w:sz w:val="25"/>
          <w:szCs w:val="25"/>
          <w:u w:val="single"/>
          <w:lang w:val="es-ES"/>
          <w14:ligatures w14:val="none"/>
        </w:rPr>
      </w:pPr>
      <w:r w:rsidRPr="00B92405">
        <w:rPr>
          <w:rFonts w:ascii="Calibri" w:eastAsia="MS Mincho" w:hAnsi="Calibri" w:cs="Times New Roman"/>
          <w:b/>
          <w:i/>
          <w:iCs/>
          <w:kern w:val="0"/>
          <w:sz w:val="25"/>
          <w:szCs w:val="25"/>
          <w:u w:val="single"/>
          <w:lang w:val="es-ES"/>
          <w14:ligatures w14:val="none"/>
        </w:rPr>
        <w:t>Área Responsable: Planificación. áreas Involucradas: MAE, Formulación y Monitoreo y Calidad.</w:t>
      </w:r>
    </w:p>
    <w:p w14:paraId="2CFE3F1F" w14:textId="20FEA4BC" w:rsidR="00B92405" w:rsidRPr="00B92405" w:rsidRDefault="00887B8D" w:rsidP="00B92405">
      <w:pPr>
        <w:suppressAutoHyphens/>
        <w:autoSpaceDN w:val="0"/>
        <w:spacing w:after="0" w:line="276" w:lineRule="auto"/>
        <w:rPr>
          <w:rFonts w:ascii="Calibri" w:eastAsia="MS Mincho" w:hAnsi="Calibri" w:cs="Times New Roman"/>
          <w:kern w:val="0"/>
          <w:sz w:val="24"/>
          <w:szCs w:val="24"/>
          <w:lang w:val="es-ES"/>
          <w14:ligatures w14:val="none"/>
        </w:rPr>
      </w:pPr>
      <w:r>
        <w:rPr>
          <w:noProof/>
          <w:lang w:val="es-ES" w:eastAsia="es-ES"/>
        </w:rPr>
        <w:drawing>
          <wp:inline distT="0" distB="0" distL="0" distR="0" wp14:anchorId="6402798A" wp14:editId="03C716D6">
            <wp:extent cx="5612130" cy="1887220"/>
            <wp:effectExtent l="0" t="0" r="7620" b="17780"/>
            <wp:docPr id="1739368921"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C153309-0CFB-490A-BDF9-739FE455FF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79A1E131" w:rsidRPr="00B92405">
        <w:rPr>
          <w:rFonts w:ascii="Calibri" w:eastAsia="MS Mincho" w:hAnsi="Calibri" w:cs="Times New Roman"/>
          <w:kern w:val="0"/>
          <w:sz w:val="24"/>
          <w:szCs w:val="24"/>
          <w:lang w:val="es-ES"/>
          <w14:ligatures w14:val="none"/>
        </w:rPr>
        <w:t xml:space="preserve">Los cumplimientos de la evaluación de los indicadores dentro de la institución, la </w:t>
      </w:r>
      <w:r w:rsidR="79A1E131" w:rsidRPr="00B92405">
        <w:rPr>
          <w:rFonts w:ascii="Calibri" w:eastAsia="MS Mincho" w:hAnsi="Calibri" w:cs="Times New Roman"/>
          <w:kern w:val="0"/>
          <w:sz w:val="24"/>
          <w:szCs w:val="24"/>
          <w:lang w:val="es-ES"/>
          <w14:ligatures w14:val="none"/>
        </w:rPr>
        <w:lastRenderedPageBreak/>
        <w:t>Dirección de Planificación logró monitorear y darle seguimiento a cada uno de los indicadores.</w:t>
      </w:r>
    </w:p>
    <w:p w14:paraId="2639AF23" w14:textId="77777777" w:rsidR="00E171F4" w:rsidRPr="00B92405" w:rsidRDefault="00B92405" w:rsidP="008915B9">
      <w:pPr>
        <w:suppressAutoHyphens/>
        <w:autoSpaceDN w:val="0"/>
        <w:spacing w:after="0" w:line="276" w:lineRule="auto"/>
        <w:ind w:left="57" w:right="57"/>
        <w:jc w:val="both"/>
        <w:rPr>
          <w:rFonts w:ascii="Calibri" w:eastAsia="MS Mincho" w:hAnsi="Calibri" w:cs="Times New Roman"/>
          <w:kern w:val="0"/>
          <w:sz w:val="24"/>
          <w:szCs w:val="24"/>
          <w:lang w:val="es-ES"/>
          <w14:ligatures w14:val="none"/>
        </w:rPr>
      </w:pPr>
      <w:r w:rsidRPr="00B92405">
        <w:rPr>
          <w:rFonts w:ascii="Calibri" w:eastAsia="MS Mincho" w:hAnsi="Calibri" w:cs="Times New Roman"/>
          <w:kern w:val="0"/>
          <w:sz w:val="24"/>
          <w:szCs w:val="24"/>
          <w:lang w:val="es-ES"/>
          <w14:ligatures w14:val="none"/>
        </w:rPr>
        <w:t xml:space="preserve"> </w:t>
      </w:r>
    </w:p>
    <w:p w14:paraId="4040C7EE" w14:textId="5EB4739A" w:rsidR="00B92405" w:rsidRPr="00B92405" w:rsidRDefault="7FBB76E0" w:rsidP="296ECA7C">
      <w:pPr>
        <w:autoSpaceDN w:val="0"/>
        <w:spacing w:after="0" w:line="276" w:lineRule="auto"/>
        <w:ind w:left="57" w:right="57"/>
        <w:jc w:val="both"/>
        <w:rPr>
          <w:rFonts w:ascii="Calibri" w:eastAsia="MS Mincho" w:hAnsi="Calibri" w:cs="Times New Roman"/>
          <w:kern w:val="0"/>
          <w:sz w:val="24"/>
          <w:szCs w:val="24"/>
          <w:lang w:val="es-ES"/>
          <w14:ligatures w14:val="none"/>
        </w:rPr>
      </w:pPr>
      <w:r>
        <w:rPr>
          <w:noProof/>
          <w:lang w:val="es-ES" w:eastAsia="es-ES"/>
        </w:rPr>
        <w:drawing>
          <wp:inline distT="0" distB="0" distL="0" distR="0" wp14:anchorId="6F1EF479" wp14:editId="686E72C8">
            <wp:extent cx="5606415" cy="1556385"/>
            <wp:effectExtent l="0" t="0" r="0" b="5715"/>
            <wp:docPr id="182172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28">
                      <a:extLst>
                        <a:ext uri="{28A0092B-C50C-407E-A947-70E740481C1C}">
                          <a14:useLocalDpi xmlns:a14="http://schemas.microsoft.com/office/drawing/2010/main" val="0"/>
                        </a:ext>
                      </a:extLst>
                    </a:blip>
                    <a:stretch>
                      <a:fillRect/>
                    </a:stretch>
                  </pic:blipFill>
                  <pic:spPr>
                    <a:xfrm>
                      <a:off x="0" y="0"/>
                      <a:ext cx="5606415" cy="1556385"/>
                    </a:xfrm>
                    <a:prstGeom prst="rect">
                      <a:avLst/>
                    </a:prstGeom>
                  </pic:spPr>
                </pic:pic>
              </a:graphicData>
            </a:graphic>
          </wp:inline>
        </w:drawing>
      </w:r>
      <w:r w:rsidR="79A1E131" w:rsidRPr="00B92405">
        <w:rPr>
          <w:rFonts w:ascii="Calibri" w:eastAsia="MS Mincho" w:hAnsi="Calibri" w:cs="Times New Roman"/>
          <w:kern w:val="0"/>
          <w:sz w:val="24"/>
          <w:szCs w:val="24"/>
          <w:lang w:val="es-ES"/>
          <w14:ligatures w14:val="none"/>
        </w:rPr>
        <w:t>El ministerio de la presidencia responsable de medir y monitorear el trabajo de las instituciones Gubernamentales, el nivel que nos encontramos en el</w:t>
      </w:r>
      <w:r w:rsidR="2559A307">
        <w:rPr>
          <w:rFonts w:ascii="Calibri" w:eastAsia="MS Mincho" w:hAnsi="Calibri" w:cs="Times New Roman"/>
          <w:kern w:val="0"/>
          <w:sz w:val="24"/>
          <w:szCs w:val="24"/>
          <w:lang w:val="es-ES"/>
          <w14:ligatures w14:val="none"/>
        </w:rPr>
        <w:t xml:space="preserve"> </w:t>
      </w:r>
      <w:r>
        <w:rPr>
          <w:rFonts w:ascii="Calibri" w:eastAsia="MS Mincho" w:hAnsi="Calibri" w:cs="Times New Roman"/>
          <w:kern w:val="0"/>
          <w:sz w:val="24"/>
          <w:szCs w:val="24"/>
          <w:lang w:val="es-ES"/>
          <w14:ligatures w14:val="none"/>
        </w:rPr>
        <w:t>cuarto</w:t>
      </w:r>
      <w:r w:rsidR="2559A307">
        <w:rPr>
          <w:rFonts w:ascii="Calibri" w:eastAsia="MS Mincho" w:hAnsi="Calibri" w:cs="Times New Roman"/>
          <w:kern w:val="0"/>
          <w:sz w:val="24"/>
          <w:szCs w:val="24"/>
          <w:lang w:val="es-ES"/>
          <w14:ligatures w14:val="none"/>
        </w:rPr>
        <w:t xml:space="preserve"> </w:t>
      </w:r>
      <w:r w:rsidR="79A1E131" w:rsidRPr="00B92405">
        <w:rPr>
          <w:rFonts w:ascii="Calibri" w:eastAsia="MS Mincho" w:hAnsi="Calibri" w:cs="Times New Roman"/>
          <w:kern w:val="0"/>
          <w:sz w:val="24"/>
          <w:szCs w:val="24"/>
          <w:lang w:val="es-ES"/>
          <w14:ligatures w14:val="none"/>
        </w:rPr>
        <w:t>trimestre de 202</w:t>
      </w:r>
      <w:r w:rsidR="34B6ED7D">
        <w:rPr>
          <w:rFonts w:ascii="Calibri" w:eastAsia="MS Mincho" w:hAnsi="Calibri" w:cs="Times New Roman"/>
          <w:kern w:val="0"/>
          <w:sz w:val="24"/>
          <w:szCs w:val="24"/>
          <w:lang w:val="es-ES"/>
          <w14:ligatures w14:val="none"/>
        </w:rPr>
        <w:t>4</w:t>
      </w:r>
      <w:r w:rsidR="79A1E131" w:rsidRPr="00B92405">
        <w:rPr>
          <w:rFonts w:ascii="Calibri" w:eastAsia="MS Mincho" w:hAnsi="Calibri" w:cs="Times New Roman"/>
          <w:kern w:val="0"/>
          <w:sz w:val="24"/>
          <w:szCs w:val="24"/>
          <w:lang w:val="es-ES"/>
          <w14:ligatures w14:val="none"/>
        </w:rPr>
        <w:t xml:space="preserve"> es de </w:t>
      </w:r>
      <w:r w:rsidR="035B5CB1">
        <w:rPr>
          <w:rFonts w:ascii="Calibri" w:eastAsia="MS Mincho" w:hAnsi="Calibri" w:cs="Times New Roman"/>
          <w:b/>
          <w:bCs/>
          <w:kern w:val="0"/>
          <w:sz w:val="24"/>
          <w:szCs w:val="24"/>
          <w:lang w:val="es-ES"/>
          <w14:ligatures w14:val="none"/>
        </w:rPr>
        <w:t>7</w:t>
      </w:r>
      <w:r>
        <w:rPr>
          <w:rFonts w:ascii="Calibri" w:eastAsia="MS Mincho" w:hAnsi="Calibri" w:cs="Times New Roman"/>
          <w:b/>
          <w:bCs/>
          <w:kern w:val="0"/>
          <w:sz w:val="24"/>
          <w:szCs w:val="24"/>
          <w:lang w:val="es-ES"/>
          <w14:ligatures w14:val="none"/>
        </w:rPr>
        <w:t>6</w:t>
      </w:r>
      <w:r w:rsidR="79A1E131" w:rsidRPr="00B92405">
        <w:rPr>
          <w:rFonts w:ascii="Calibri" w:eastAsia="MS Mincho" w:hAnsi="Calibri" w:cs="Times New Roman"/>
          <w:b/>
          <w:bCs/>
          <w:kern w:val="0"/>
          <w:sz w:val="24"/>
          <w:szCs w:val="24"/>
          <w:lang w:val="es-ES"/>
          <w14:ligatures w14:val="none"/>
        </w:rPr>
        <w:t>%</w:t>
      </w:r>
      <w:r w:rsidR="79A1E131" w:rsidRPr="00B92405">
        <w:rPr>
          <w:rFonts w:ascii="Calibri" w:eastAsia="MS Mincho" w:hAnsi="Calibri" w:cs="Times New Roman"/>
          <w:kern w:val="0"/>
          <w:sz w:val="24"/>
          <w:szCs w:val="24"/>
          <w:lang w:val="es-ES"/>
          <w14:ligatures w14:val="none"/>
        </w:rPr>
        <w:t xml:space="preserve"> de acuerdo con cada porcentaje mostrado en el cuadro.</w:t>
      </w:r>
    </w:p>
    <w:p w14:paraId="1042D333" w14:textId="77777777" w:rsidR="00B92405" w:rsidRPr="00B92405" w:rsidRDefault="00B92405" w:rsidP="00B92405">
      <w:pPr>
        <w:autoSpaceDN w:val="0"/>
        <w:spacing w:after="0" w:line="240" w:lineRule="auto"/>
        <w:ind w:left="57" w:right="57"/>
        <w:jc w:val="both"/>
        <w:rPr>
          <w:rFonts w:ascii="Calibri" w:eastAsia="MS Mincho" w:hAnsi="Calibri" w:cs="Times New Roman"/>
          <w:kern w:val="0"/>
          <w:sz w:val="24"/>
          <w:szCs w:val="24"/>
          <w:lang w:val="es-ES"/>
          <w14:ligatures w14:val="none"/>
        </w:rPr>
      </w:pPr>
    </w:p>
    <w:p w14:paraId="67A85886" w14:textId="749A40D2" w:rsidR="008915B9" w:rsidRDefault="0028633F" w:rsidP="00B92405">
      <w:pPr>
        <w:suppressAutoHyphens/>
        <w:autoSpaceDN w:val="0"/>
        <w:spacing w:after="0" w:line="240" w:lineRule="auto"/>
        <w:jc w:val="both"/>
        <w:rPr>
          <w:rFonts w:ascii="Calibri" w:eastAsia="MS Mincho" w:hAnsi="Calibri" w:cs="Times New Roman"/>
          <w:kern w:val="0"/>
          <w:sz w:val="24"/>
          <w:szCs w:val="24"/>
          <w:lang w:val="es-ES"/>
          <w14:ligatures w14:val="none"/>
        </w:rPr>
      </w:pPr>
      <w:r>
        <w:rPr>
          <w:noProof/>
          <w:lang w:val="es-ES" w:eastAsia="es-ES"/>
        </w:rPr>
        <w:drawing>
          <wp:inline distT="0" distB="0" distL="0" distR="0" wp14:anchorId="5CB5A1A3" wp14:editId="2E9D3862">
            <wp:extent cx="5612130" cy="1867535"/>
            <wp:effectExtent l="0" t="0" r="7620" b="18415"/>
            <wp:docPr id="1990392784"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4FC0A38-BCB2-45D1-B3B6-A63BF42B49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2AAB4FA8">
        <w:rPr>
          <w:rFonts w:ascii="Calibri" w:eastAsia="MS Mincho" w:hAnsi="Calibri" w:cs="Times New Roman"/>
          <w:kern w:val="0"/>
          <w:sz w:val="24"/>
          <w:szCs w:val="24"/>
          <w:lang w:val="es-ES"/>
          <w14:ligatures w14:val="none"/>
        </w:rPr>
        <w:t>Este producto, se cumplió en la totalidad.</w:t>
      </w:r>
    </w:p>
    <w:p w14:paraId="2E7EEEB8" w14:textId="77777777" w:rsidR="008915B9" w:rsidRDefault="008915B9" w:rsidP="00B92405">
      <w:pPr>
        <w:suppressAutoHyphens/>
        <w:autoSpaceDN w:val="0"/>
        <w:spacing w:after="0" w:line="240" w:lineRule="auto"/>
        <w:jc w:val="both"/>
        <w:rPr>
          <w:rFonts w:ascii="Calibri" w:eastAsia="MS Mincho" w:hAnsi="Calibri" w:cs="Times New Roman"/>
          <w:kern w:val="0"/>
          <w:sz w:val="24"/>
          <w:szCs w:val="24"/>
          <w:lang w:val="es-ES"/>
          <w14:ligatures w14:val="none"/>
        </w:rPr>
      </w:pPr>
    </w:p>
    <w:p w14:paraId="691626B1" w14:textId="30C6E6C7" w:rsidR="00B92405" w:rsidRPr="00B92405" w:rsidRDefault="0028633F" w:rsidP="00B92405">
      <w:pPr>
        <w:suppressAutoHyphens/>
        <w:autoSpaceDN w:val="0"/>
        <w:spacing w:after="0" w:line="240" w:lineRule="auto"/>
        <w:jc w:val="both"/>
        <w:rPr>
          <w:rFonts w:ascii="Calibri" w:eastAsia="MS Mincho" w:hAnsi="Calibri" w:cs="Times New Roman"/>
          <w:kern w:val="0"/>
          <w:sz w:val="24"/>
          <w:szCs w:val="24"/>
          <w:lang w:val="es-ES"/>
          <w14:ligatures w14:val="none"/>
        </w:rPr>
      </w:pPr>
      <w:r>
        <w:rPr>
          <w:noProof/>
          <w:lang w:val="es-ES" w:eastAsia="es-ES"/>
        </w:rPr>
        <w:drawing>
          <wp:inline distT="0" distB="0" distL="0" distR="0" wp14:anchorId="59902706" wp14:editId="47BEA67F">
            <wp:extent cx="5612130" cy="1964690"/>
            <wp:effectExtent l="0" t="0" r="7620" b="16510"/>
            <wp:docPr id="2082848490"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84AF9A7-0392-ACAA-4A9A-497B6D803B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2559A307">
        <w:rPr>
          <w:rFonts w:ascii="Calibri" w:eastAsia="MS Mincho" w:hAnsi="Calibri" w:cs="Times New Roman"/>
          <w:kern w:val="0"/>
          <w:sz w:val="24"/>
          <w:szCs w:val="24"/>
          <w:lang w:val="es-ES"/>
          <w14:ligatures w14:val="none"/>
        </w:rPr>
        <w:t>Este producto</w:t>
      </w:r>
      <w:r w:rsidR="2AAB4FA8">
        <w:rPr>
          <w:rFonts w:ascii="Calibri" w:eastAsia="MS Mincho" w:hAnsi="Calibri" w:cs="Times New Roman"/>
          <w:kern w:val="0"/>
          <w:sz w:val="24"/>
          <w:szCs w:val="24"/>
          <w:lang w:val="es-ES"/>
          <w14:ligatures w14:val="none"/>
        </w:rPr>
        <w:t xml:space="preserve"> fue completado</w:t>
      </w:r>
    </w:p>
    <w:p w14:paraId="6D6B4E50" w14:textId="77777777" w:rsidR="00662FEE" w:rsidRPr="00B92405" w:rsidRDefault="00662FEE" w:rsidP="00B92405">
      <w:pPr>
        <w:suppressAutoHyphens/>
        <w:autoSpaceDN w:val="0"/>
        <w:spacing w:after="0" w:line="240" w:lineRule="auto"/>
        <w:jc w:val="both"/>
        <w:rPr>
          <w:rFonts w:ascii="Calibri" w:eastAsia="MS Mincho" w:hAnsi="Calibri" w:cs="Times New Roman"/>
          <w:kern w:val="0"/>
          <w:sz w:val="24"/>
          <w:szCs w:val="24"/>
          <w:lang w:val="es-ES"/>
          <w14:ligatures w14:val="none"/>
        </w:rPr>
      </w:pPr>
    </w:p>
    <w:p w14:paraId="212CB6D0" w14:textId="37EEC5BE" w:rsidR="00B92405" w:rsidRDefault="00662FEE" w:rsidP="00B92405">
      <w:pPr>
        <w:suppressAutoHyphens/>
        <w:autoSpaceDN w:val="0"/>
        <w:spacing w:after="0" w:line="240" w:lineRule="auto"/>
        <w:jc w:val="both"/>
        <w:rPr>
          <w:rFonts w:ascii="Calibri" w:eastAsia="MS Mincho" w:hAnsi="Calibri" w:cs="Times New Roman"/>
          <w:kern w:val="0"/>
          <w:sz w:val="24"/>
          <w:szCs w:val="24"/>
          <w:lang w:val="es-ES"/>
          <w14:ligatures w14:val="none"/>
        </w:rPr>
      </w:pPr>
      <w:r>
        <w:rPr>
          <w:noProof/>
          <w:lang w:val="es-ES" w:eastAsia="es-ES"/>
        </w:rPr>
        <w:lastRenderedPageBreak/>
        <w:drawing>
          <wp:inline distT="0" distB="0" distL="0" distR="0" wp14:anchorId="5E24D94C" wp14:editId="6530BCF2">
            <wp:extent cx="5612130" cy="1959428"/>
            <wp:effectExtent l="0" t="0" r="7620" b="3175"/>
            <wp:docPr id="1194776947"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ACA803A-FB88-EEB5-CE38-A8F8A72551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bookmarkStart w:id="2" w:name="_Hlk179370075"/>
      <w:r w:rsidR="6B8BB5B9">
        <w:rPr>
          <w:rFonts w:ascii="Calibri" w:eastAsia="MS Mincho" w:hAnsi="Calibri" w:cs="Times New Roman"/>
          <w:kern w:val="0"/>
          <w:sz w:val="24"/>
          <w:szCs w:val="24"/>
          <w:lang w:val="es-ES"/>
          <w14:ligatures w14:val="none"/>
        </w:rPr>
        <w:t>Este producto, se cumplió en la totalidad</w:t>
      </w:r>
      <w:r w:rsidR="79124D33">
        <w:rPr>
          <w:rFonts w:ascii="Calibri" w:eastAsia="MS Mincho" w:hAnsi="Calibri" w:cs="Times New Roman"/>
          <w:kern w:val="0"/>
          <w:sz w:val="24"/>
          <w:szCs w:val="24"/>
          <w:lang w:val="es-ES"/>
          <w14:ligatures w14:val="none"/>
        </w:rPr>
        <w:t>.</w:t>
      </w:r>
    </w:p>
    <w:p w14:paraId="520362BC" w14:textId="77777777" w:rsidR="00D55D2C" w:rsidRDefault="00D55D2C" w:rsidP="00B92405">
      <w:pPr>
        <w:suppressAutoHyphens/>
        <w:autoSpaceDN w:val="0"/>
        <w:spacing w:after="0" w:line="240" w:lineRule="auto"/>
        <w:jc w:val="both"/>
        <w:rPr>
          <w:rFonts w:ascii="Calibri" w:eastAsia="MS Mincho" w:hAnsi="Calibri" w:cs="Times New Roman"/>
          <w:kern w:val="0"/>
          <w:sz w:val="24"/>
          <w:szCs w:val="24"/>
          <w:lang w:val="es-ES"/>
          <w14:ligatures w14:val="none"/>
        </w:rPr>
      </w:pPr>
    </w:p>
    <w:bookmarkEnd w:id="2"/>
    <w:p w14:paraId="2F9A5154" w14:textId="57B71216" w:rsidR="00662FEE" w:rsidRDefault="0028633F" w:rsidP="00B92405">
      <w:pPr>
        <w:suppressAutoHyphens/>
        <w:autoSpaceDN w:val="0"/>
        <w:spacing w:after="0" w:line="240" w:lineRule="auto"/>
        <w:jc w:val="both"/>
        <w:rPr>
          <w:rFonts w:ascii="Calibri" w:eastAsia="MS Mincho" w:hAnsi="Calibri" w:cs="Times New Roman"/>
          <w:kern w:val="0"/>
          <w:sz w:val="24"/>
          <w:szCs w:val="24"/>
          <w:lang w:val="es-ES"/>
          <w14:ligatures w14:val="none"/>
        </w:rPr>
      </w:pPr>
      <w:r>
        <w:rPr>
          <w:noProof/>
          <w:lang w:val="es-ES" w:eastAsia="es-ES"/>
        </w:rPr>
        <w:drawing>
          <wp:inline distT="0" distB="0" distL="0" distR="0" wp14:anchorId="71A4265C" wp14:editId="720B8476">
            <wp:extent cx="5612130" cy="2046515"/>
            <wp:effectExtent l="0" t="0" r="7620" b="11430"/>
            <wp:docPr id="1082780873"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B14E63F-ED83-9CED-1170-48D3C8C107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2AAB4FA8">
        <w:rPr>
          <w:rFonts w:ascii="Calibri" w:eastAsia="MS Mincho" w:hAnsi="Calibri" w:cs="Times New Roman"/>
          <w:kern w:val="0"/>
          <w:sz w:val="24"/>
          <w:szCs w:val="24"/>
          <w:lang w:val="es-ES"/>
          <w14:ligatures w14:val="none"/>
        </w:rPr>
        <w:t xml:space="preserve">Este producto </w:t>
      </w:r>
      <w:proofErr w:type="spellStart"/>
      <w:r w:rsidR="2AAB4FA8">
        <w:rPr>
          <w:rFonts w:ascii="Calibri" w:eastAsia="MS Mincho" w:hAnsi="Calibri" w:cs="Times New Roman"/>
          <w:kern w:val="0"/>
          <w:sz w:val="24"/>
          <w:szCs w:val="24"/>
          <w:lang w:val="es-ES"/>
          <w14:ligatures w14:val="none"/>
        </w:rPr>
        <w:t>esta</w:t>
      </w:r>
      <w:proofErr w:type="spellEnd"/>
      <w:r w:rsidR="2AAB4FA8">
        <w:rPr>
          <w:rFonts w:ascii="Calibri" w:eastAsia="MS Mincho" w:hAnsi="Calibri" w:cs="Times New Roman"/>
          <w:kern w:val="0"/>
          <w:sz w:val="24"/>
          <w:szCs w:val="24"/>
          <w:lang w:val="es-ES"/>
          <w14:ligatures w14:val="none"/>
        </w:rPr>
        <w:t xml:space="preserve"> en procesos de licitación. </w:t>
      </w:r>
    </w:p>
    <w:p w14:paraId="4EAD2183" w14:textId="77777777" w:rsidR="008915B9" w:rsidRDefault="008915B9" w:rsidP="00B92405">
      <w:pPr>
        <w:suppressAutoHyphens/>
        <w:autoSpaceDN w:val="0"/>
        <w:spacing w:after="0" w:line="240" w:lineRule="auto"/>
        <w:jc w:val="both"/>
        <w:rPr>
          <w:rFonts w:ascii="Calibri" w:eastAsia="MS Mincho" w:hAnsi="Calibri" w:cs="Times New Roman"/>
          <w:kern w:val="0"/>
          <w:sz w:val="24"/>
          <w:szCs w:val="24"/>
          <w:lang w:val="es-ES"/>
          <w14:ligatures w14:val="none"/>
        </w:rPr>
      </w:pPr>
    </w:p>
    <w:p w14:paraId="526EED46" w14:textId="4A6CE57F" w:rsidR="00662FEE" w:rsidRDefault="00662FEE" w:rsidP="00B92405">
      <w:pPr>
        <w:suppressAutoHyphens/>
        <w:autoSpaceDN w:val="0"/>
        <w:spacing w:after="0" w:line="240" w:lineRule="auto"/>
        <w:jc w:val="both"/>
        <w:rPr>
          <w:rFonts w:ascii="Calibri" w:eastAsia="MS Mincho" w:hAnsi="Calibri" w:cs="Times New Roman"/>
          <w:kern w:val="0"/>
          <w:sz w:val="24"/>
          <w:szCs w:val="24"/>
          <w:lang w:val="es-ES"/>
          <w14:ligatures w14:val="none"/>
        </w:rPr>
      </w:pPr>
      <w:r>
        <w:rPr>
          <w:noProof/>
          <w:lang w:val="es-ES" w:eastAsia="es-ES"/>
        </w:rPr>
        <w:drawing>
          <wp:inline distT="0" distB="0" distL="0" distR="0" wp14:anchorId="7DAB757D" wp14:editId="22FD87F3">
            <wp:extent cx="5612130" cy="2095500"/>
            <wp:effectExtent l="0" t="0" r="7620" b="0"/>
            <wp:docPr id="849949296"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E855DE3-D18A-4213-7D48-95E0CFFEB4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30EC695" w14:textId="77777777" w:rsidR="00662FEE" w:rsidRDefault="00662FEE" w:rsidP="00B92405">
      <w:pPr>
        <w:suppressAutoHyphens/>
        <w:autoSpaceDN w:val="0"/>
        <w:spacing w:after="0" w:line="240" w:lineRule="auto"/>
        <w:jc w:val="both"/>
        <w:rPr>
          <w:rFonts w:ascii="Calibri" w:eastAsia="MS Mincho" w:hAnsi="Calibri" w:cs="Times New Roman"/>
          <w:kern w:val="0"/>
          <w:sz w:val="24"/>
          <w:szCs w:val="24"/>
          <w:lang w:val="es-ES"/>
          <w14:ligatures w14:val="none"/>
        </w:rPr>
      </w:pPr>
    </w:p>
    <w:p w14:paraId="7E9D43F3" w14:textId="7BEF3F65" w:rsidR="008915B9" w:rsidRPr="00B92405" w:rsidRDefault="79A1E131" w:rsidP="296ECA7C">
      <w:pPr>
        <w:suppressAutoHyphens/>
        <w:autoSpaceDN w:val="0"/>
        <w:spacing w:after="0" w:line="240" w:lineRule="auto"/>
        <w:jc w:val="both"/>
        <w:rPr>
          <w:rFonts w:ascii="Calibri" w:eastAsia="MS Mincho" w:hAnsi="Calibri" w:cs="Times New Roman"/>
          <w:b/>
          <w:bCs/>
          <w:i/>
          <w:iCs/>
          <w:kern w:val="0"/>
          <w:sz w:val="25"/>
          <w:szCs w:val="25"/>
          <w:u w:val="single"/>
          <w:lang w:val="es-ES"/>
          <w14:ligatures w14:val="none"/>
        </w:rPr>
      </w:pPr>
      <w:r w:rsidRPr="296ECA7C">
        <w:rPr>
          <w:rFonts w:ascii="Calibri" w:eastAsia="MS Mincho" w:hAnsi="Calibri" w:cs="Times New Roman"/>
          <w:b/>
          <w:bCs/>
          <w:i/>
          <w:iCs/>
          <w:kern w:val="0"/>
          <w:sz w:val="25"/>
          <w:szCs w:val="25"/>
          <w:u w:val="single"/>
          <w:lang w:val="es-ES"/>
          <w14:ligatures w14:val="none"/>
        </w:rPr>
        <w:t>Área Responsable: Recursos Humanos. áreas Involucradas: Registro, Control y Nomina, Capacitación. Organización del trabajo, reclutamiento y selección, relaciones laborales.</w:t>
      </w:r>
    </w:p>
    <w:p w14:paraId="2DEC6751" w14:textId="7D2437C8" w:rsidR="008A0860" w:rsidRPr="008A0860" w:rsidRDefault="003143E3" w:rsidP="296ECA7C">
      <w:pPr>
        <w:suppressAutoHyphens/>
        <w:autoSpaceDN w:val="0"/>
        <w:spacing w:after="0" w:line="240" w:lineRule="auto"/>
        <w:rPr>
          <w:rFonts w:ascii="Calibri" w:eastAsia="MS Mincho" w:hAnsi="Calibri" w:cs="Times New Roman"/>
          <w:b/>
          <w:bCs/>
          <w:noProof/>
          <w:color w:val="082A75"/>
          <w:kern w:val="0"/>
          <w:sz w:val="28"/>
          <w:szCs w:val="28"/>
          <w:lang w:val="es-ES"/>
          <w14:ligatures w14:val="none"/>
        </w:rPr>
      </w:pPr>
      <w:r>
        <w:rPr>
          <w:noProof/>
          <w:lang w:val="es-ES" w:eastAsia="es-ES"/>
        </w:rPr>
        <w:lastRenderedPageBreak/>
        <w:drawing>
          <wp:inline distT="0" distB="0" distL="0" distR="0" wp14:anchorId="3BB2CEC0" wp14:editId="345D39FE">
            <wp:extent cx="5612130" cy="1970314"/>
            <wp:effectExtent l="0" t="0" r="7620" b="11430"/>
            <wp:docPr id="466157391"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03D9E9D-E0F8-2794-5C45-00A2490416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00B92405" w:rsidRPr="00B92405">
        <w:rPr>
          <w:rFonts w:ascii="Open Sans" w:eastAsia="Times New Roman" w:hAnsi="Open Sans" w:cs="Open Sans"/>
          <w:color w:val="555555"/>
          <w:kern w:val="0"/>
          <w:sz w:val="20"/>
          <w:szCs w:val="20"/>
          <w:lang w:val="es-ES" w:eastAsia="es-ES"/>
          <w14:ligatures w14:val="none"/>
        </w:rPr>
        <w:br/>
      </w:r>
      <w:r w:rsidR="2A817E55" w:rsidRPr="002A77F5">
        <w:rPr>
          <w:rFonts w:ascii="Calibri" w:eastAsia="MS Mincho" w:hAnsi="Calibri" w:cs="Times New Roman"/>
          <w:kern w:val="0"/>
          <w:sz w:val="24"/>
          <w:szCs w:val="24"/>
          <w:lang w:val="es-ES"/>
          <w14:ligatures w14:val="none"/>
        </w:rPr>
        <w:t xml:space="preserve">En el </w:t>
      </w:r>
      <w:r w:rsidR="70EECAFF" w:rsidRPr="002A77F5">
        <w:rPr>
          <w:rFonts w:ascii="Calibri" w:eastAsia="MS Mincho" w:hAnsi="Calibri" w:cs="Times New Roman"/>
          <w:kern w:val="0"/>
          <w:sz w:val="24"/>
          <w:szCs w:val="24"/>
          <w:lang w:val="es-ES"/>
          <w14:ligatures w14:val="none"/>
        </w:rPr>
        <w:t>cuarto</w:t>
      </w:r>
      <w:r w:rsidR="2A817E55" w:rsidRPr="002A77F5">
        <w:rPr>
          <w:rFonts w:ascii="Calibri" w:eastAsia="MS Mincho" w:hAnsi="Calibri" w:cs="Times New Roman"/>
          <w:kern w:val="0"/>
          <w:sz w:val="24"/>
          <w:szCs w:val="24"/>
          <w:lang w:val="es-ES"/>
          <w14:ligatures w14:val="none"/>
        </w:rPr>
        <w:t xml:space="preserve"> se otorgaron 3 beneficios, los cuales detallamos a continuación: </w:t>
      </w:r>
    </w:p>
    <w:p w14:paraId="61445455" w14:textId="21B0F464" w:rsidR="008A0860" w:rsidRDefault="00655D17" w:rsidP="008A0860">
      <w:pPr>
        <w:pStyle w:val="Prrafodelista"/>
        <w:numPr>
          <w:ilvl w:val="0"/>
          <w:numId w:val="8"/>
        </w:numPr>
        <w:suppressAutoHyphens/>
        <w:autoSpaceDN w:val="0"/>
        <w:spacing w:after="0" w:line="240" w:lineRule="auto"/>
        <w:ind w:right="-710"/>
        <w:jc w:val="both"/>
        <w:rPr>
          <w:rFonts w:ascii="Calibri" w:eastAsia="MS Mincho" w:hAnsi="Calibri" w:cs="Times New Roman"/>
          <w:color w:val="000000" w:themeColor="text1"/>
          <w:kern w:val="0"/>
          <w:sz w:val="24"/>
          <w:szCs w:val="24"/>
          <w:lang w:val="es-ES"/>
          <w14:ligatures w14:val="none"/>
        </w:rPr>
      </w:pPr>
      <w:r>
        <w:rPr>
          <w:rFonts w:ascii="Calibri" w:eastAsia="MS Mincho" w:hAnsi="Calibri" w:cs="Times New Roman"/>
          <w:color w:val="000000" w:themeColor="text1"/>
          <w:kern w:val="0"/>
          <w:sz w:val="24"/>
          <w:szCs w:val="24"/>
          <w:lang w:val="es-ES"/>
          <w14:ligatures w14:val="none"/>
        </w:rPr>
        <w:t>Operativo odontológico de evaluación y limpieza facial (octubre)</w:t>
      </w:r>
    </w:p>
    <w:p w14:paraId="2C48B393" w14:textId="263454F4" w:rsidR="00DA73C0" w:rsidRPr="00DA73C0" w:rsidRDefault="00DA73C0" w:rsidP="00DA73C0">
      <w:pPr>
        <w:pStyle w:val="Prrafodelista"/>
        <w:numPr>
          <w:ilvl w:val="0"/>
          <w:numId w:val="8"/>
        </w:numPr>
        <w:suppressAutoHyphens/>
        <w:autoSpaceDN w:val="0"/>
        <w:spacing w:after="0" w:line="240" w:lineRule="auto"/>
        <w:ind w:right="-710"/>
        <w:jc w:val="both"/>
        <w:rPr>
          <w:rFonts w:ascii="Calibri" w:eastAsia="MS Mincho" w:hAnsi="Calibri" w:cs="Times New Roman"/>
          <w:kern w:val="0"/>
          <w:sz w:val="24"/>
          <w:szCs w:val="24"/>
          <w:lang w:val="es-ES"/>
          <w14:ligatures w14:val="none"/>
        </w:rPr>
      </w:pPr>
      <w:r>
        <w:rPr>
          <w:rFonts w:ascii="Calibri" w:eastAsia="MS Mincho" w:hAnsi="Calibri" w:cs="Times New Roman"/>
          <w:kern w:val="0"/>
          <w:sz w:val="24"/>
          <w:szCs w:val="24"/>
          <w:lang w:val="es-ES"/>
          <w14:ligatures w14:val="none"/>
        </w:rPr>
        <w:t xml:space="preserve">Charla de prevención de cáncer de Mama y operativo de </w:t>
      </w:r>
      <w:proofErr w:type="spellStart"/>
      <w:r>
        <w:rPr>
          <w:rFonts w:ascii="Calibri" w:eastAsia="MS Mincho" w:hAnsi="Calibri" w:cs="Times New Roman"/>
          <w:kern w:val="0"/>
          <w:sz w:val="24"/>
          <w:szCs w:val="24"/>
          <w:lang w:val="es-ES"/>
          <w14:ligatures w14:val="none"/>
        </w:rPr>
        <w:t>sonomamografía</w:t>
      </w:r>
      <w:proofErr w:type="spellEnd"/>
      <w:r>
        <w:rPr>
          <w:rFonts w:ascii="Calibri" w:eastAsia="MS Mincho" w:hAnsi="Calibri" w:cs="Times New Roman"/>
          <w:kern w:val="0"/>
          <w:sz w:val="24"/>
          <w:szCs w:val="24"/>
          <w:lang w:val="es-ES"/>
          <w14:ligatures w14:val="none"/>
        </w:rPr>
        <w:t xml:space="preserve"> y </w:t>
      </w:r>
      <w:proofErr w:type="spellStart"/>
      <w:r>
        <w:rPr>
          <w:rFonts w:ascii="Calibri" w:eastAsia="MS Mincho" w:hAnsi="Calibri" w:cs="Times New Roman"/>
          <w:kern w:val="0"/>
          <w:sz w:val="24"/>
          <w:szCs w:val="24"/>
          <w:lang w:val="es-ES"/>
          <w14:ligatures w14:val="none"/>
        </w:rPr>
        <w:t>sonografía</w:t>
      </w:r>
      <w:proofErr w:type="spellEnd"/>
      <w:r>
        <w:rPr>
          <w:rFonts w:ascii="Calibri" w:eastAsia="MS Mincho" w:hAnsi="Calibri" w:cs="Times New Roman"/>
          <w:kern w:val="0"/>
          <w:sz w:val="24"/>
          <w:szCs w:val="24"/>
          <w:lang w:val="es-ES"/>
          <w14:ligatures w14:val="none"/>
        </w:rPr>
        <w:t xml:space="preserve"> de tiroides. (octubre)</w:t>
      </w:r>
    </w:p>
    <w:p w14:paraId="576B8EB8" w14:textId="3C872D5A" w:rsidR="008915B9" w:rsidRPr="001D1C15" w:rsidRDefault="00655D17" w:rsidP="008A0860">
      <w:pPr>
        <w:pStyle w:val="Prrafodelista"/>
        <w:numPr>
          <w:ilvl w:val="0"/>
          <w:numId w:val="8"/>
        </w:numPr>
        <w:suppressAutoHyphens/>
        <w:autoSpaceDN w:val="0"/>
        <w:spacing w:after="0" w:line="240" w:lineRule="auto"/>
        <w:ind w:right="-710"/>
        <w:jc w:val="both"/>
        <w:rPr>
          <w:rFonts w:ascii="Calibri" w:eastAsia="MS Mincho" w:hAnsi="Calibri" w:cs="Times New Roman"/>
          <w:kern w:val="0"/>
          <w:sz w:val="24"/>
          <w:szCs w:val="24"/>
          <w:lang w:val="es-ES"/>
          <w14:ligatures w14:val="none"/>
        </w:rPr>
      </w:pPr>
      <w:r>
        <w:rPr>
          <w:rFonts w:ascii="Calibri" w:eastAsia="MS Mincho" w:hAnsi="Calibri" w:cs="Times New Roman"/>
          <w:kern w:val="0"/>
          <w:sz w:val="24"/>
          <w:szCs w:val="24"/>
          <w:lang w:val="es-ES"/>
          <w14:ligatures w14:val="none"/>
        </w:rPr>
        <w:t>Charla de nutrición y muestra de glicemia (noviembre)</w:t>
      </w:r>
    </w:p>
    <w:p w14:paraId="77E45133" w14:textId="77777777" w:rsidR="008915B9" w:rsidRDefault="008915B9" w:rsidP="008A0860">
      <w:pPr>
        <w:suppressAutoHyphens/>
        <w:autoSpaceDN w:val="0"/>
        <w:spacing w:after="0" w:line="240" w:lineRule="auto"/>
        <w:rPr>
          <w:rFonts w:ascii="Calibri" w:eastAsia="MS Mincho" w:hAnsi="Calibri" w:cs="Times New Roman"/>
          <w:kern w:val="0"/>
          <w:sz w:val="24"/>
          <w:szCs w:val="24"/>
          <w:lang w:val="es-ES"/>
          <w14:ligatures w14:val="none"/>
        </w:rPr>
      </w:pPr>
    </w:p>
    <w:p w14:paraId="6912C32D" w14:textId="544F0E4C" w:rsidR="00B92405" w:rsidRDefault="003143E3" w:rsidP="008A0860">
      <w:pPr>
        <w:suppressAutoHyphens/>
        <w:autoSpaceDN w:val="0"/>
        <w:spacing w:after="0" w:line="240" w:lineRule="auto"/>
        <w:rPr>
          <w:rFonts w:ascii="Calibri" w:eastAsia="MS Mincho" w:hAnsi="Calibri" w:cs="Times New Roman"/>
          <w:kern w:val="0"/>
          <w:sz w:val="24"/>
          <w:szCs w:val="24"/>
          <w:lang w:val="es-ES"/>
          <w14:ligatures w14:val="none"/>
        </w:rPr>
      </w:pPr>
      <w:r>
        <w:rPr>
          <w:noProof/>
          <w:lang w:val="es-ES" w:eastAsia="es-ES"/>
        </w:rPr>
        <w:drawing>
          <wp:inline distT="0" distB="0" distL="0" distR="0" wp14:anchorId="55105BC1" wp14:editId="67363A71">
            <wp:extent cx="5612130" cy="2162175"/>
            <wp:effectExtent l="0" t="0" r="7620" b="9525"/>
            <wp:docPr id="1888492003"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1584069-36D0-403A-B664-781DAC5414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79124D33">
        <w:rPr>
          <w:rFonts w:ascii="Calibri" w:eastAsia="MS Mincho" w:hAnsi="Calibri" w:cs="Times New Roman"/>
          <w:kern w:val="0"/>
          <w:sz w:val="24"/>
          <w:szCs w:val="24"/>
          <w:lang w:val="es-ES"/>
          <w14:ligatures w14:val="none"/>
        </w:rPr>
        <w:t>Este producto, se cumplió en la totalidad.</w:t>
      </w:r>
    </w:p>
    <w:p w14:paraId="6971AD7A" w14:textId="0F346BA8" w:rsidR="002A77F5" w:rsidRDefault="002A77F5" w:rsidP="00F738DE">
      <w:pPr>
        <w:suppressAutoHyphens/>
        <w:autoSpaceDN w:val="0"/>
        <w:spacing w:after="0" w:line="240" w:lineRule="auto"/>
        <w:rPr>
          <w:rFonts w:ascii="Calibri" w:eastAsia="MS Mincho" w:hAnsi="Calibri" w:cs="Times New Roman"/>
          <w:kern w:val="0"/>
          <w:sz w:val="24"/>
          <w:szCs w:val="24"/>
          <w:lang w:val="es-ES"/>
          <w14:ligatures w14:val="none"/>
        </w:rPr>
      </w:pPr>
    </w:p>
    <w:p w14:paraId="65541BFB" w14:textId="21AF9392" w:rsidR="002A77F5" w:rsidRPr="002A77F5" w:rsidRDefault="00385438" w:rsidP="00F738DE">
      <w:pPr>
        <w:pStyle w:val="Prrafodelista"/>
        <w:suppressAutoHyphens/>
        <w:autoSpaceDN w:val="0"/>
        <w:spacing w:after="0" w:line="240" w:lineRule="auto"/>
        <w:ind w:left="-90" w:right="-710"/>
        <w:rPr>
          <w:rFonts w:ascii="Calibri" w:eastAsia="MS Mincho" w:hAnsi="Calibri" w:cs="Times New Roman"/>
          <w:kern w:val="0"/>
          <w:sz w:val="24"/>
          <w:szCs w:val="24"/>
          <w:lang w:val="es-ES"/>
          <w14:ligatures w14:val="none"/>
        </w:rPr>
      </w:pPr>
      <w:r>
        <w:rPr>
          <w:noProof/>
          <w:lang w:val="es-ES" w:eastAsia="es-ES"/>
        </w:rPr>
        <w:drawing>
          <wp:inline distT="0" distB="0" distL="0" distR="0" wp14:anchorId="67BCF9A4" wp14:editId="5E1BAA2C">
            <wp:extent cx="5612130" cy="2133600"/>
            <wp:effectExtent l="0" t="0" r="7620" b="0"/>
            <wp:docPr id="1430479177"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17CAA2C-873C-4702-9DC1-63AB503193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78018033" w:rsidRPr="0021500E">
        <w:rPr>
          <w:rFonts w:ascii="Calibri" w:eastAsia="MS Mincho" w:hAnsi="Calibri" w:cs="Times New Roman"/>
          <w:kern w:val="0"/>
          <w:sz w:val="24"/>
          <w:szCs w:val="24"/>
          <w:lang w:val="es-ES"/>
          <w14:ligatures w14:val="none"/>
        </w:rPr>
        <w:t>Porcentaje de los colaboradores capacitados acorde a las necesidades identificadas es de un 25%, con un total de</w:t>
      </w:r>
      <w:r w:rsidR="2A817E55">
        <w:rPr>
          <w:rFonts w:ascii="Calibri" w:eastAsia="MS Mincho" w:hAnsi="Calibri" w:cs="Times New Roman"/>
          <w:kern w:val="0"/>
          <w:sz w:val="24"/>
          <w:szCs w:val="24"/>
          <w:lang w:val="es-ES"/>
          <w14:ligatures w14:val="none"/>
        </w:rPr>
        <w:t xml:space="preserve"> </w:t>
      </w:r>
      <w:r w:rsidR="579CA2D6">
        <w:rPr>
          <w:rFonts w:ascii="Calibri" w:eastAsia="MS Mincho" w:hAnsi="Calibri" w:cs="Times New Roman"/>
          <w:kern w:val="0"/>
          <w:sz w:val="24"/>
          <w:szCs w:val="24"/>
          <w:lang w:val="es-ES"/>
          <w14:ligatures w14:val="none"/>
        </w:rPr>
        <w:t>11</w:t>
      </w:r>
      <w:r w:rsidR="2A817E55">
        <w:rPr>
          <w:rFonts w:ascii="Calibri" w:eastAsia="MS Mincho" w:hAnsi="Calibri" w:cs="Times New Roman"/>
          <w:kern w:val="0"/>
          <w:sz w:val="24"/>
          <w:szCs w:val="24"/>
          <w:lang w:val="es-ES"/>
          <w14:ligatures w14:val="none"/>
        </w:rPr>
        <w:t xml:space="preserve"> </w:t>
      </w:r>
      <w:r w:rsidR="78018033" w:rsidRPr="0021500E">
        <w:rPr>
          <w:rFonts w:ascii="Calibri" w:eastAsia="MS Mincho" w:hAnsi="Calibri" w:cs="Times New Roman"/>
          <w:kern w:val="0"/>
          <w:sz w:val="24"/>
          <w:szCs w:val="24"/>
          <w:lang w:val="es-ES"/>
          <w14:ligatures w14:val="none"/>
        </w:rPr>
        <w:t xml:space="preserve">capacitaciones en el </w:t>
      </w:r>
      <w:r w:rsidR="579CA2D6">
        <w:rPr>
          <w:rFonts w:ascii="Calibri" w:eastAsia="MS Mincho" w:hAnsi="Calibri" w:cs="Times New Roman"/>
          <w:kern w:val="0"/>
          <w:sz w:val="24"/>
          <w:szCs w:val="24"/>
          <w:lang w:val="es-ES"/>
          <w14:ligatures w14:val="none"/>
        </w:rPr>
        <w:t>cuarto</w:t>
      </w:r>
      <w:r w:rsidR="78018033" w:rsidRPr="0021500E">
        <w:rPr>
          <w:rFonts w:ascii="Calibri" w:eastAsia="MS Mincho" w:hAnsi="Calibri" w:cs="Times New Roman"/>
          <w:kern w:val="0"/>
          <w:sz w:val="24"/>
          <w:szCs w:val="24"/>
          <w:lang w:val="es-ES"/>
          <w14:ligatures w14:val="none"/>
        </w:rPr>
        <w:t xml:space="preserve"> trimestre</w:t>
      </w:r>
      <w:r w:rsidR="7A394F9F">
        <w:rPr>
          <w:rFonts w:ascii="Calibri" w:eastAsia="MS Mincho" w:hAnsi="Calibri" w:cs="Times New Roman"/>
          <w:kern w:val="0"/>
          <w:sz w:val="24"/>
          <w:szCs w:val="24"/>
          <w:lang w:val="es-ES"/>
          <w14:ligatures w14:val="none"/>
        </w:rPr>
        <w:t xml:space="preserve">, </w:t>
      </w:r>
      <w:r w:rsidR="78018033" w:rsidRPr="0021500E">
        <w:rPr>
          <w:rFonts w:ascii="Calibri" w:eastAsia="MS Mincho" w:hAnsi="Calibri" w:cs="Times New Roman"/>
          <w:kern w:val="0"/>
          <w:sz w:val="24"/>
          <w:szCs w:val="24"/>
          <w:lang w:val="es-ES"/>
          <w14:ligatures w14:val="none"/>
        </w:rPr>
        <w:t xml:space="preserve">con </w:t>
      </w:r>
      <w:r w:rsidR="2A817E55">
        <w:rPr>
          <w:rFonts w:ascii="Calibri" w:eastAsia="MS Mincho" w:hAnsi="Calibri" w:cs="Times New Roman"/>
          <w:kern w:val="0"/>
          <w:sz w:val="24"/>
          <w:szCs w:val="24"/>
          <w:lang w:val="es-ES"/>
          <w14:ligatures w14:val="none"/>
        </w:rPr>
        <w:t>2</w:t>
      </w:r>
      <w:r w:rsidR="7A394F9F">
        <w:rPr>
          <w:rFonts w:ascii="Calibri" w:eastAsia="MS Mincho" w:hAnsi="Calibri" w:cs="Times New Roman"/>
          <w:kern w:val="0"/>
          <w:sz w:val="24"/>
          <w:szCs w:val="24"/>
          <w:lang w:val="es-ES"/>
          <w14:ligatures w14:val="none"/>
        </w:rPr>
        <w:t>31</w:t>
      </w:r>
      <w:r w:rsidR="78018033" w:rsidRPr="0021500E">
        <w:rPr>
          <w:rFonts w:ascii="Calibri" w:eastAsia="MS Mincho" w:hAnsi="Calibri" w:cs="Times New Roman"/>
          <w:kern w:val="0"/>
          <w:sz w:val="24"/>
          <w:szCs w:val="24"/>
          <w:lang w:val="es-ES"/>
          <w14:ligatures w14:val="none"/>
        </w:rPr>
        <w:t xml:space="preserve"> participantes.</w:t>
      </w:r>
    </w:p>
    <w:p w14:paraId="07A0B950" w14:textId="6B46F225" w:rsidR="296ECA7C" w:rsidRDefault="296ECA7C" w:rsidP="296ECA7C">
      <w:pPr>
        <w:pStyle w:val="Prrafodelista"/>
        <w:spacing w:after="0" w:line="240" w:lineRule="auto"/>
        <w:ind w:left="-90" w:right="-710"/>
        <w:rPr>
          <w:rFonts w:ascii="Calibri" w:eastAsia="MS Mincho" w:hAnsi="Calibri" w:cs="Times New Roman"/>
          <w:sz w:val="24"/>
          <w:szCs w:val="24"/>
          <w:lang w:val="es-ES"/>
        </w:rPr>
      </w:pPr>
    </w:p>
    <w:p w14:paraId="66C2681D" w14:textId="51121A23" w:rsidR="0021500E" w:rsidRPr="008A0860" w:rsidRDefault="00655D17" w:rsidP="0021500E">
      <w:pPr>
        <w:numPr>
          <w:ilvl w:val="0"/>
          <w:numId w:val="10"/>
        </w:numPr>
        <w:spacing w:before="100" w:beforeAutospacing="1" w:after="100" w:afterAutospacing="1" w:line="240" w:lineRule="auto"/>
        <w:rPr>
          <w:rFonts w:ascii="Calibri" w:eastAsia="MS Mincho" w:hAnsi="Calibri" w:cs="Times New Roman"/>
          <w:kern w:val="0"/>
          <w:sz w:val="24"/>
          <w:szCs w:val="24"/>
          <w:lang w:val="es-ES"/>
          <w14:ligatures w14:val="none"/>
        </w:rPr>
      </w:pPr>
      <w:r>
        <w:rPr>
          <w:rFonts w:ascii="Calibri" w:eastAsia="MS Mincho" w:hAnsi="Calibri" w:cs="Times New Roman"/>
          <w:kern w:val="0"/>
          <w:sz w:val="24"/>
          <w:szCs w:val="24"/>
          <w:lang w:val="es-ES"/>
          <w14:ligatures w14:val="none"/>
        </w:rPr>
        <w:lastRenderedPageBreak/>
        <w:t>Máster</w:t>
      </w:r>
      <w:r w:rsidR="00385438">
        <w:rPr>
          <w:rFonts w:ascii="Calibri" w:eastAsia="MS Mincho" w:hAnsi="Calibri" w:cs="Times New Roman"/>
          <w:kern w:val="0"/>
          <w:sz w:val="24"/>
          <w:szCs w:val="24"/>
          <w:lang w:val="es-ES"/>
          <w14:ligatures w14:val="none"/>
        </w:rPr>
        <w:t xml:space="preserve"> en gestión humana y desarrollo organizacional</w:t>
      </w:r>
      <w:r w:rsidR="0021500E" w:rsidRPr="008A0860">
        <w:rPr>
          <w:rFonts w:ascii="Calibri" w:eastAsia="MS Mincho" w:hAnsi="Calibri" w:cs="Times New Roman"/>
          <w:kern w:val="0"/>
          <w:sz w:val="24"/>
          <w:szCs w:val="24"/>
          <w:lang w:val="es-ES"/>
          <w14:ligatures w14:val="none"/>
        </w:rPr>
        <w:t xml:space="preserve">        </w:t>
      </w:r>
      <w:r w:rsidR="00385438">
        <w:rPr>
          <w:rFonts w:ascii="Calibri" w:eastAsia="MS Mincho" w:hAnsi="Calibri" w:cs="Times New Roman"/>
          <w:kern w:val="0"/>
          <w:sz w:val="24"/>
          <w:szCs w:val="24"/>
          <w:lang w:val="es-ES"/>
          <w14:ligatures w14:val="none"/>
        </w:rPr>
        <w:t xml:space="preserve"> </w:t>
      </w:r>
      <w:r>
        <w:rPr>
          <w:rFonts w:ascii="Calibri" w:eastAsia="MS Mincho" w:hAnsi="Calibri" w:cs="Times New Roman"/>
          <w:kern w:val="0"/>
          <w:sz w:val="24"/>
          <w:szCs w:val="24"/>
          <w:lang w:val="es-ES"/>
          <w14:ligatures w14:val="none"/>
        </w:rPr>
        <w:tab/>
      </w:r>
      <w:r>
        <w:rPr>
          <w:rFonts w:ascii="Calibri" w:eastAsia="MS Mincho" w:hAnsi="Calibri" w:cs="Times New Roman"/>
          <w:kern w:val="0"/>
          <w:sz w:val="24"/>
          <w:szCs w:val="24"/>
          <w:lang w:val="es-ES"/>
          <w14:ligatures w14:val="none"/>
        </w:rPr>
        <w:tab/>
      </w:r>
      <w:r>
        <w:rPr>
          <w:rFonts w:ascii="Calibri" w:eastAsia="MS Mincho" w:hAnsi="Calibri" w:cs="Times New Roman"/>
          <w:kern w:val="0"/>
          <w:sz w:val="24"/>
          <w:szCs w:val="24"/>
          <w:lang w:val="es-ES"/>
          <w14:ligatures w14:val="none"/>
        </w:rPr>
        <w:tab/>
      </w:r>
      <w:r w:rsidR="0021500E" w:rsidRPr="008A0860">
        <w:rPr>
          <w:rFonts w:ascii="Calibri" w:eastAsia="MS Mincho" w:hAnsi="Calibri" w:cs="Times New Roman"/>
          <w:kern w:val="0"/>
          <w:sz w:val="24"/>
          <w:szCs w:val="24"/>
          <w:lang w:val="es-ES"/>
          <w14:ligatures w14:val="none"/>
        </w:rPr>
        <w:t>1</w:t>
      </w:r>
    </w:p>
    <w:p w14:paraId="4B210B02" w14:textId="6FCDB929" w:rsidR="0021500E" w:rsidRPr="008A0860" w:rsidRDefault="73955135" w:rsidP="296ECA7C">
      <w:pPr>
        <w:numPr>
          <w:ilvl w:val="0"/>
          <w:numId w:val="10"/>
        </w:numPr>
        <w:spacing w:before="100" w:beforeAutospacing="1" w:after="100" w:afterAutospacing="1" w:line="240" w:lineRule="auto"/>
        <w:rPr>
          <w:rFonts w:ascii="Calibri" w:eastAsia="MS Mincho" w:hAnsi="Calibri" w:cs="Times New Roman"/>
          <w:kern w:val="0"/>
          <w:sz w:val="24"/>
          <w:szCs w:val="24"/>
          <w:lang w:val="es-ES"/>
          <w14:ligatures w14:val="none"/>
        </w:rPr>
      </w:pPr>
      <w:r>
        <w:rPr>
          <w:rFonts w:ascii="Calibri" w:eastAsia="MS Mincho" w:hAnsi="Calibri" w:cs="Times New Roman"/>
          <w:kern w:val="0"/>
          <w:sz w:val="24"/>
          <w:szCs w:val="24"/>
          <w:lang w:val="es-ES"/>
          <w14:ligatures w14:val="none"/>
        </w:rPr>
        <w:t>Formulación presupuestaria orientado a resultados</w:t>
      </w:r>
      <w:r w:rsidR="008A0860">
        <w:rPr>
          <w:rFonts w:ascii="Calibri" w:eastAsia="MS Mincho" w:hAnsi="Calibri" w:cs="Times New Roman"/>
          <w:kern w:val="0"/>
          <w:sz w:val="24"/>
          <w:szCs w:val="24"/>
          <w:lang w:val="es-ES"/>
          <w14:ligatures w14:val="none"/>
        </w:rPr>
        <w:tab/>
      </w:r>
      <w:r w:rsidR="008A0860">
        <w:rPr>
          <w:rFonts w:ascii="Calibri" w:eastAsia="MS Mincho" w:hAnsi="Calibri" w:cs="Times New Roman"/>
          <w:kern w:val="0"/>
          <w:sz w:val="24"/>
          <w:szCs w:val="24"/>
          <w:lang w:val="es-ES"/>
          <w14:ligatures w14:val="none"/>
        </w:rPr>
        <w:tab/>
      </w:r>
      <w:r w:rsidR="00655D17">
        <w:rPr>
          <w:rFonts w:ascii="Calibri" w:eastAsia="MS Mincho" w:hAnsi="Calibri" w:cs="Times New Roman"/>
          <w:kern w:val="0"/>
          <w:sz w:val="24"/>
          <w:szCs w:val="24"/>
          <w:lang w:val="es-ES"/>
          <w14:ligatures w14:val="none"/>
        </w:rPr>
        <w:tab/>
      </w:r>
      <w:r w:rsidR="00655D17">
        <w:rPr>
          <w:rFonts w:ascii="Calibri" w:eastAsia="MS Mincho" w:hAnsi="Calibri" w:cs="Times New Roman"/>
          <w:kern w:val="0"/>
          <w:sz w:val="24"/>
          <w:szCs w:val="24"/>
          <w:lang w:val="es-ES"/>
          <w14:ligatures w14:val="none"/>
        </w:rPr>
        <w:tab/>
      </w:r>
      <w:r>
        <w:rPr>
          <w:rFonts w:ascii="Calibri" w:eastAsia="MS Mincho" w:hAnsi="Calibri" w:cs="Times New Roman"/>
          <w:kern w:val="0"/>
          <w:sz w:val="24"/>
          <w:szCs w:val="24"/>
          <w:lang w:val="es-ES"/>
          <w14:ligatures w14:val="none"/>
        </w:rPr>
        <w:t>8</w:t>
      </w:r>
    </w:p>
    <w:p w14:paraId="4DB029D6" w14:textId="62FD9BDA" w:rsidR="0021500E" w:rsidRPr="008A0860" w:rsidRDefault="73955135" w:rsidP="296ECA7C">
      <w:pPr>
        <w:numPr>
          <w:ilvl w:val="0"/>
          <w:numId w:val="10"/>
        </w:numPr>
        <w:spacing w:before="100" w:beforeAutospacing="1" w:after="100" w:afterAutospacing="1" w:line="240" w:lineRule="auto"/>
        <w:rPr>
          <w:rFonts w:ascii="Calibri" w:eastAsia="MS Mincho" w:hAnsi="Calibri" w:cs="Times New Roman"/>
          <w:kern w:val="0"/>
          <w:sz w:val="24"/>
          <w:szCs w:val="24"/>
          <w:lang w:val="es-ES"/>
          <w14:ligatures w14:val="none"/>
        </w:rPr>
      </w:pPr>
      <w:r>
        <w:rPr>
          <w:rFonts w:ascii="Calibri" w:eastAsia="MS Mincho" w:hAnsi="Calibri" w:cs="Times New Roman"/>
          <w:kern w:val="0"/>
          <w:sz w:val="24"/>
          <w:szCs w:val="24"/>
          <w:lang w:val="es-ES"/>
          <w14:ligatures w14:val="none"/>
        </w:rPr>
        <w:t>Fundamento del sistema de contabilidad gubernamental</w:t>
      </w:r>
      <w:r w:rsidR="78018033" w:rsidRPr="008A0860">
        <w:rPr>
          <w:rFonts w:ascii="Calibri" w:eastAsia="MS Mincho" w:hAnsi="Calibri" w:cs="Times New Roman"/>
          <w:kern w:val="0"/>
          <w:sz w:val="24"/>
          <w:szCs w:val="24"/>
          <w:lang w:val="es-ES"/>
          <w14:ligatures w14:val="none"/>
        </w:rPr>
        <w:t>   </w:t>
      </w:r>
      <w:r>
        <w:rPr>
          <w:rFonts w:ascii="Calibri" w:eastAsia="MS Mincho" w:hAnsi="Calibri" w:cs="Times New Roman"/>
          <w:kern w:val="0"/>
          <w:sz w:val="24"/>
          <w:szCs w:val="24"/>
          <w:lang w:val="es-ES"/>
          <w14:ligatures w14:val="none"/>
        </w:rPr>
        <w:t xml:space="preserve"> </w:t>
      </w:r>
      <w:r w:rsidR="00655D17">
        <w:rPr>
          <w:rFonts w:ascii="Calibri" w:eastAsia="MS Mincho" w:hAnsi="Calibri" w:cs="Times New Roman"/>
          <w:kern w:val="0"/>
          <w:sz w:val="24"/>
          <w:szCs w:val="24"/>
          <w:lang w:val="es-ES"/>
          <w14:ligatures w14:val="none"/>
        </w:rPr>
        <w:tab/>
      </w:r>
      <w:r w:rsidR="00655D17">
        <w:rPr>
          <w:rFonts w:ascii="Calibri" w:eastAsia="MS Mincho" w:hAnsi="Calibri" w:cs="Times New Roman"/>
          <w:kern w:val="0"/>
          <w:sz w:val="24"/>
          <w:szCs w:val="24"/>
          <w:lang w:val="es-ES"/>
          <w14:ligatures w14:val="none"/>
        </w:rPr>
        <w:tab/>
      </w:r>
      <w:r w:rsidR="00655D17">
        <w:rPr>
          <w:rFonts w:ascii="Calibri" w:eastAsia="MS Mincho" w:hAnsi="Calibri" w:cs="Times New Roman"/>
          <w:kern w:val="0"/>
          <w:sz w:val="24"/>
          <w:szCs w:val="24"/>
          <w:lang w:val="es-ES"/>
          <w14:ligatures w14:val="none"/>
        </w:rPr>
        <w:tab/>
      </w:r>
      <w:r w:rsidR="2A817E55">
        <w:rPr>
          <w:rFonts w:ascii="Calibri" w:eastAsia="MS Mincho" w:hAnsi="Calibri" w:cs="Times New Roman"/>
          <w:kern w:val="0"/>
          <w:sz w:val="24"/>
          <w:szCs w:val="24"/>
          <w:lang w:val="es-ES"/>
          <w14:ligatures w14:val="none"/>
        </w:rPr>
        <w:t>7</w:t>
      </w:r>
    </w:p>
    <w:p w14:paraId="7A41D5F9" w14:textId="73ADF88D" w:rsidR="0021500E" w:rsidRPr="008A0860" w:rsidRDefault="73955135" w:rsidP="296ECA7C">
      <w:pPr>
        <w:numPr>
          <w:ilvl w:val="0"/>
          <w:numId w:val="10"/>
        </w:numPr>
        <w:spacing w:before="100" w:beforeAutospacing="1" w:after="100" w:afterAutospacing="1" w:line="240" w:lineRule="auto"/>
        <w:rPr>
          <w:rFonts w:ascii="Calibri" w:eastAsia="MS Mincho" w:hAnsi="Calibri" w:cs="Times New Roman"/>
          <w:kern w:val="0"/>
          <w:sz w:val="24"/>
          <w:szCs w:val="24"/>
          <w:lang w:val="es-ES"/>
          <w14:ligatures w14:val="none"/>
        </w:rPr>
      </w:pPr>
      <w:r>
        <w:rPr>
          <w:rFonts w:ascii="Calibri" w:eastAsia="MS Mincho" w:hAnsi="Calibri" w:cs="Times New Roman"/>
          <w:kern w:val="0"/>
          <w:sz w:val="24"/>
          <w:szCs w:val="24"/>
          <w:lang w:val="es-ES"/>
          <w14:ligatures w14:val="none"/>
        </w:rPr>
        <w:t>Introducción a la administración financiera</w:t>
      </w:r>
      <w:r w:rsidR="2A817E55" w:rsidRPr="008A0860">
        <w:rPr>
          <w:rFonts w:ascii="Calibri" w:eastAsia="MS Mincho" w:hAnsi="Calibri" w:cs="Times New Roman"/>
          <w:kern w:val="0"/>
          <w:sz w:val="24"/>
          <w:szCs w:val="24"/>
          <w:lang w:val="es-ES"/>
          <w14:ligatures w14:val="none"/>
        </w:rPr>
        <w:t xml:space="preserve"> </w:t>
      </w:r>
      <w:r>
        <w:rPr>
          <w:rFonts w:ascii="Calibri" w:eastAsia="MS Mincho" w:hAnsi="Calibri" w:cs="Times New Roman"/>
          <w:kern w:val="0"/>
          <w:sz w:val="24"/>
          <w:szCs w:val="24"/>
          <w:lang w:val="es-ES"/>
          <w14:ligatures w14:val="none"/>
        </w:rPr>
        <w:t>del estado</w:t>
      </w:r>
      <w:r w:rsidR="008A0860">
        <w:rPr>
          <w:rFonts w:ascii="Calibri" w:eastAsia="MS Mincho" w:hAnsi="Calibri" w:cs="Times New Roman"/>
          <w:kern w:val="0"/>
          <w:sz w:val="24"/>
          <w:szCs w:val="24"/>
          <w:lang w:val="es-ES"/>
          <w14:ligatures w14:val="none"/>
        </w:rPr>
        <w:tab/>
      </w:r>
      <w:r w:rsidR="00655D17">
        <w:rPr>
          <w:rFonts w:ascii="Calibri" w:eastAsia="MS Mincho" w:hAnsi="Calibri" w:cs="Times New Roman"/>
          <w:kern w:val="0"/>
          <w:sz w:val="24"/>
          <w:szCs w:val="24"/>
          <w:lang w:val="es-ES"/>
          <w14:ligatures w14:val="none"/>
        </w:rPr>
        <w:tab/>
      </w:r>
      <w:r w:rsidR="00655D17">
        <w:rPr>
          <w:rFonts w:ascii="Calibri" w:eastAsia="MS Mincho" w:hAnsi="Calibri" w:cs="Times New Roman"/>
          <w:kern w:val="0"/>
          <w:sz w:val="24"/>
          <w:szCs w:val="24"/>
          <w:lang w:val="es-ES"/>
          <w14:ligatures w14:val="none"/>
        </w:rPr>
        <w:tab/>
      </w:r>
      <w:r>
        <w:rPr>
          <w:rFonts w:ascii="Calibri" w:eastAsia="MS Mincho" w:hAnsi="Calibri" w:cs="Times New Roman"/>
          <w:kern w:val="0"/>
          <w:sz w:val="24"/>
          <w:szCs w:val="24"/>
          <w:lang w:val="es-ES"/>
          <w14:ligatures w14:val="none"/>
        </w:rPr>
        <w:t>7</w:t>
      </w:r>
    </w:p>
    <w:p w14:paraId="4ABAAC7D" w14:textId="41352F57" w:rsidR="0021500E" w:rsidRPr="008A0860" w:rsidRDefault="73955135" w:rsidP="296ECA7C">
      <w:pPr>
        <w:numPr>
          <w:ilvl w:val="0"/>
          <w:numId w:val="10"/>
        </w:numPr>
        <w:spacing w:before="100" w:beforeAutospacing="1" w:after="100" w:afterAutospacing="1" w:line="240" w:lineRule="auto"/>
        <w:rPr>
          <w:rFonts w:ascii="Calibri" w:eastAsia="MS Mincho" w:hAnsi="Calibri" w:cs="Times New Roman"/>
          <w:kern w:val="0"/>
          <w:sz w:val="24"/>
          <w:szCs w:val="24"/>
          <w:lang w:val="es-ES"/>
          <w14:ligatures w14:val="none"/>
        </w:rPr>
      </w:pPr>
      <w:r>
        <w:rPr>
          <w:rFonts w:ascii="Calibri" w:eastAsia="MS Mincho" w:hAnsi="Calibri" w:cs="Times New Roman"/>
          <w:kern w:val="0"/>
          <w:sz w:val="24"/>
          <w:szCs w:val="24"/>
          <w:lang w:val="es-ES"/>
          <w14:ligatures w14:val="none"/>
        </w:rPr>
        <w:t xml:space="preserve">Gestión del talento recursos </w:t>
      </w:r>
      <w:r w:rsidR="579CA2D6">
        <w:rPr>
          <w:rFonts w:ascii="Calibri" w:eastAsia="MS Mincho" w:hAnsi="Calibri" w:cs="Times New Roman"/>
          <w:kern w:val="0"/>
          <w:sz w:val="24"/>
          <w:szCs w:val="24"/>
          <w:lang w:val="es-ES"/>
          <w14:ligatures w14:val="none"/>
        </w:rPr>
        <w:t>humanos</w:t>
      </w:r>
      <w:r w:rsidR="579CA2D6" w:rsidRPr="008A0860">
        <w:rPr>
          <w:rFonts w:ascii="Calibri" w:eastAsia="MS Mincho" w:hAnsi="Calibri" w:cs="Times New Roman"/>
          <w:kern w:val="0"/>
          <w:sz w:val="24"/>
          <w:szCs w:val="24"/>
          <w:lang w:val="es-ES"/>
          <w14:ligatures w14:val="none"/>
        </w:rPr>
        <w:t xml:space="preserve"> </w:t>
      </w:r>
      <w:r w:rsidR="00655D17" w:rsidRPr="008A0860">
        <w:rPr>
          <w:rFonts w:ascii="Calibri" w:eastAsia="MS Mincho" w:hAnsi="Calibri" w:cs="Times New Roman"/>
          <w:kern w:val="0"/>
          <w:sz w:val="24"/>
          <w:szCs w:val="24"/>
          <w:lang w:val="es-ES"/>
          <w14:ligatures w14:val="none"/>
        </w:rPr>
        <w:tab/>
      </w:r>
      <w:r w:rsidR="008A0860">
        <w:rPr>
          <w:rFonts w:ascii="Calibri" w:eastAsia="MS Mincho" w:hAnsi="Calibri" w:cs="Times New Roman"/>
          <w:kern w:val="0"/>
          <w:sz w:val="24"/>
          <w:szCs w:val="24"/>
          <w:lang w:val="es-ES"/>
          <w14:ligatures w14:val="none"/>
        </w:rPr>
        <w:tab/>
      </w:r>
      <w:r w:rsidR="008A0860">
        <w:rPr>
          <w:rFonts w:ascii="Calibri" w:eastAsia="MS Mincho" w:hAnsi="Calibri" w:cs="Times New Roman"/>
          <w:kern w:val="0"/>
          <w:sz w:val="24"/>
          <w:szCs w:val="24"/>
          <w:lang w:val="es-ES"/>
          <w14:ligatures w14:val="none"/>
        </w:rPr>
        <w:tab/>
      </w:r>
      <w:r w:rsidR="00655D17">
        <w:rPr>
          <w:rFonts w:ascii="Calibri" w:eastAsia="MS Mincho" w:hAnsi="Calibri" w:cs="Times New Roman"/>
          <w:kern w:val="0"/>
          <w:sz w:val="24"/>
          <w:szCs w:val="24"/>
          <w:lang w:val="es-ES"/>
          <w14:ligatures w14:val="none"/>
        </w:rPr>
        <w:tab/>
      </w:r>
      <w:r w:rsidR="00385438" w:rsidRPr="00CC7CED">
        <w:rPr>
          <w:lang w:val="es-ES"/>
        </w:rPr>
        <w:tab/>
      </w:r>
      <w:r>
        <w:rPr>
          <w:rFonts w:ascii="Calibri" w:eastAsia="MS Mincho" w:hAnsi="Calibri" w:cs="Times New Roman"/>
          <w:kern w:val="0"/>
          <w:sz w:val="24"/>
          <w:szCs w:val="24"/>
          <w:lang w:val="es-ES"/>
          <w14:ligatures w14:val="none"/>
        </w:rPr>
        <w:t>11</w:t>
      </w:r>
    </w:p>
    <w:p w14:paraId="76781B23" w14:textId="7D68E50A" w:rsidR="0021500E" w:rsidRPr="008A0860" w:rsidRDefault="73955135" w:rsidP="296ECA7C">
      <w:pPr>
        <w:numPr>
          <w:ilvl w:val="0"/>
          <w:numId w:val="10"/>
        </w:numPr>
        <w:spacing w:before="100" w:beforeAutospacing="1" w:after="100" w:afterAutospacing="1" w:line="240" w:lineRule="auto"/>
        <w:rPr>
          <w:rFonts w:ascii="Calibri" w:eastAsia="MS Mincho" w:hAnsi="Calibri" w:cs="Times New Roman"/>
          <w:kern w:val="0"/>
          <w:sz w:val="24"/>
          <w:szCs w:val="24"/>
          <w:lang w:val="es-ES"/>
          <w14:ligatures w14:val="none"/>
        </w:rPr>
      </w:pPr>
      <w:r>
        <w:rPr>
          <w:rFonts w:ascii="Calibri" w:eastAsia="MS Mincho" w:hAnsi="Calibri" w:cs="Times New Roman"/>
          <w:kern w:val="0"/>
          <w:sz w:val="24"/>
          <w:szCs w:val="24"/>
          <w:lang w:val="es-ES"/>
          <w14:ligatures w14:val="none"/>
        </w:rPr>
        <w:t>Taller de inteligencia emocional</w:t>
      </w:r>
      <w:r w:rsidR="00385438">
        <w:rPr>
          <w:rFonts w:ascii="Calibri" w:eastAsia="MS Mincho" w:hAnsi="Calibri" w:cs="Times New Roman"/>
          <w:kern w:val="0"/>
          <w:sz w:val="24"/>
          <w:szCs w:val="24"/>
          <w:lang w:val="es-ES"/>
          <w14:ligatures w14:val="none"/>
        </w:rPr>
        <w:tab/>
      </w:r>
      <w:r w:rsidR="00385438">
        <w:rPr>
          <w:rFonts w:ascii="Calibri" w:eastAsia="MS Mincho" w:hAnsi="Calibri" w:cs="Times New Roman"/>
          <w:kern w:val="0"/>
          <w:sz w:val="24"/>
          <w:szCs w:val="24"/>
          <w:lang w:val="es-ES"/>
          <w14:ligatures w14:val="none"/>
        </w:rPr>
        <w:tab/>
      </w:r>
      <w:r w:rsidR="00385438">
        <w:rPr>
          <w:rFonts w:ascii="Calibri" w:eastAsia="MS Mincho" w:hAnsi="Calibri" w:cs="Times New Roman"/>
          <w:kern w:val="0"/>
          <w:sz w:val="24"/>
          <w:szCs w:val="24"/>
          <w:lang w:val="es-ES"/>
          <w14:ligatures w14:val="none"/>
        </w:rPr>
        <w:tab/>
      </w:r>
      <w:r w:rsidR="008A0860">
        <w:rPr>
          <w:rFonts w:ascii="Calibri" w:eastAsia="MS Mincho" w:hAnsi="Calibri" w:cs="Times New Roman"/>
          <w:kern w:val="0"/>
          <w:sz w:val="24"/>
          <w:szCs w:val="24"/>
          <w:lang w:val="es-ES"/>
          <w14:ligatures w14:val="none"/>
        </w:rPr>
        <w:tab/>
      </w:r>
      <w:r w:rsidR="00655D17">
        <w:rPr>
          <w:rFonts w:ascii="Calibri" w:eastAsia="MS Mincho" w:hAnsi="Calibri" w:cs="Times New Roman"/>
          <w:kern w:val="0"/>
          <w:sz w:val="24"/>
          <w:szCs w:val="24"/>
          <w:lang w:val="es-ES"/>
          <w14:ligatures w14:val="none"/>
        </w:rPr>
        <w:tab/>
      </w:r>
      <w:r w:rsidR="00655D17">
        <w:rPr>
          <w:rFonts w:ascii="Calibri" w:eastAsia="MS Mincho" w:hAnsi="Calibri" w:cs="Times New Roman"/>
          <w:kern w:val="0"/>
          <w:sz w:val="24"/>
          <w:szCs w:val="24"/>
          <w:lang w:val="es-ES"/>
          <w14:ligatures w14:val="none"/>
        </w:rPr>
        <w:tab/>
      </w:r>
      <w:r>
        <w:rPr>
          <w:rFonts w:ascii="Calibri" w:eastAsia="MS Mincho" w:hAnsi="Calibri" w:cs="Times New Roman"/>
          <w:kern w:val="0"/>
          <w:sz w:val="24"/>
          <w:szCs w:val="24"/>
          <w:lang w:val="es-ES"/>
          <w14:ligatures w14:val="none"/>
        </w:rPr>
        <w:t>32</w:t>
      </w:r>
    </w:p>
    <w:p w14:paraId="062DE04A" w14:textId="5141C080" w:rsidR="008A0860" w:rsidRPr="008A0860" w:rsidRDefault="579CA2D6" w:rsidP="296ECA7C">
      <w:pPr>
        <w:numPr>
          <w:ilvl w:val="0"/>
          <w:numId w:val="10"/>
        </w:numPr>
        <w:spacing w:before="100" w:beforeAutospacing="1" w:after="100" w:afterAutospacing="1" w:line="240" w:lineRule="auto"/>
        <w:rPr>
          <w:rFonts w:ascii="Calibri" w:eastAsia="MS Mincho" w:hAnsi="Calibri" w:cs="Times New Roman"/>
          <w:kern w:val="0"/>
          <w:sz w:val="24"/>
          <w:szCs w:val="24"/>
          <w:lang w:val="es-ES"/>
          <w14:ligatures w14:val="none"/>
        </w:rPr>
      </w:pPr>
      <w:r>
        <w:rPr>
          <w:rFonts w:ascii="Calibri" w:eastAsia="MS Mincho" w:hAnsi="Calibri" w:cs="Times New Roman"/>
          <w:kern w:val="0"/>
          <w:sz w:val="24"/>
          <w:szCs w:val="24"/>
          <w:lang w:val="es-ES"/>
          <w14:ligatures w14:val="none"/>
        </w:rPr>
        <w:t>Programa de formación y desarrollo de habilidades de ciberseguridad para servidores públicos</w:t>
      </w:r>
      <w:r w:rsidR="00655D17">
        <w:rPr>
          <w:rFonts w:ascii="Calibri" w:eastAsia="MS Mincho" w:hAnsi="Calibri" w:cs="Times New Roman"/>
          <w:kern w:val="0"/>
          <w:sz w:val="24"/>
          <w:szCs w:val="24"/>
          <w:lang w:val="es-ES"/>
          <w14:ligatures w14:val="none"/>
        </w:rPr>
        <w:tab/>
      </w:r>
      <w:r w:rsidR="00655D17">
        <w:rPr>
          <w:rFonts w:ascii="Calibri" w:eastAsia="MS Mincho" w:hAnsi="Calibri" w:cs="Times New Roman"/>
          <w:kern w:val="0"/>
          <w:sz w:val="24"/>
          <w:szCs w:val="24"/>
          <w:lang w:val="es-ES"/>
          <w14:ligatures w14:val="none"/>
        </w:rPr>
        <w:tab/>
      </w:r>
      <w:r w:rsidR="00655D17">
        <w:rPr>
          <w:rFonts w:ascii="Calibri" w:eastAsia="MS Mincho" w:hAnsi="Calibri" w:cs="Times New Roman"/>
          <w:kern w:val="0"/>
          <w:sz w:val="24"/>
          <w:szCs w:val="24"/>
          <w:lang w:val="es-ES"/>
          <w14:ligatures w14:val="none"/>
        </w:rPr>
        <w:tab/>
      </w:r>
      <w:r w:rsidR="00655D17">
        <w:rPr>
          <w:rFonts w:ascii="Calibri" w:eastAsia="MS Mincho" w:hAnsi="Calibri" w:cs="Times New Roman"/>
          <w:kern w:val="0"/>
          <w:sz w:val="24"/>
          <w:szCs w:val="24"/>
          <w:lang w:val="es-ES"/>
          <w14:ligatures w14:val="none"/>
        </w:rPr>
        <w:tab/>
      </w:r>
      <w:r w:rsidR="00655D17">
        <w:rPr>
          <w:rFonts w:ascii="Calibri" w:eastAsia="MS Mincho" w:hAnsi="Calibri" w:cs="Times New Roman"/>
          <w:kern w:val="0"/>
          <w:sz w:val="24"/>
          <w:szCs w:val="24"/>
          <w:lang w:val="es-ES"/>
          <w14:ligatures w14:val="none"/>
        </w:rPr>
        <w:tab/>
      </w:r>
      <w:r w:rsidR="00655D17">
        <w:rPr>
          <w:rFonts w:ascii="Calibri" w:eastAsia="MS Mincho" w:hAnsi="Calibri" w:cs="Times New Roman"/>
          <w:kern w:val="0"/>
          <w:sz w:val="24"/>
          <w:szCs w:val="24"/>
          <w:lang w:val="es-ES"/>
          <w14:ligatures w14:val="none"/>
        </w:rPr>
        <w:tab/>
      </w:r>
      <w:r w:rsidR="00655D17">
        <w:rPr>
          <w:rFonts w:ascii="Calibri" w:eastAsia="MS Mincho" w:hAnsi="Calibri" w:cs="Times New Roman"/>
          <w:kern w:val="0"/>
          <w:sz w:val="24"/>
          <w:szCs w:val="24"/>
          <w:lang w:val="es-ES"/>
          <w14:ligatures w14:val="none"/>
        </w:rPr>
        <w:tab/>
      </w:r>
      <w:r w:rsidR="1FEFADAC">
        <w:rPr>
          <w:rFonts w:ascii="Calibri" w:eastAsia="MS Mincho" w:hAnsi="Calibri" w:cs="Times New Roman"/>
          <w:kern w:val="0"/>
          <w:sz w:val="24"/>
          <w:szCs w:val="24"/>
          <w:lang w:val="es-ES"/>
          <w14:ligatures w14:val="none"/>
        </w:rPr>
        <w:t xml:space="preserve">               </w:t>
      </w:r>
      <w:r>
        <w:rPr>
          <w:rFonts w:ascii="Calibri" w:eastAsia="MS Mincho" w:hAnsi="Calibri" w:cs="Times New Roman"/>
          <w:kern w:val="0"/>
          <w:sz w:val="24"/>
          <w:szCs w:val="24"/>
          <w:lang w:val="es-ES"/>
          <w14:ligatures w14:val="none"/>
        </w:rPr>
        <w:t>3</w:t>
      </w:r>
    </w:p>
    <w:p w14:paraId="5A1B625E" w14:textId="08AB9281" w:rsidR="008A0860" w:rsidRPr="008A0860" w:rsidRDefault="579CA2D6" w:rsidP="296ECA7C">
      <w:pPr>
        <w:numPr>
          <w:ilvl w:val="0"/>
          <w:numId w:val="10"/>
        </w:numPr>
        <w:spacing w:before="100" w:beforeAutospacing="1" w:after="100" w:afterAutospacing="1" w:line="240" w:lineRule="auto"/>
        <w:rPr>
          <w:rFonts w:ascii="Calibri" w:eastAsia="MS Mincho" w:hAnsi="Calibri" w:cs="Times New Roman"/>
          <w:kern w:val="0"/>
          <w:sz w:val="24"/>
          <w:szCs w:val="24"/>
          <w:lang w:val="es-ES"/>
          <w14:ligatures w14:val="none"/>
        </w:rPr>
      </w:pPr>
      <w:r>
        <w:rPr>
          <w:rFonts w:ascii="Calibri" w:eastAsia="MS Mincho" w:hAnsi="Calibri" w:cs="Times New Roman"/>
          <w:kern w:val="0"/>
          <w:sz w:val="24"/>
          <w:szCs w:val="24"/>
          <w:lang w:val="es-ES"/>
          <w14:ligatures w14:val="none"/>
        </w:rPr>
        <w:t>Taller suplementación de identidad; prevención y consecuencias</w:t>
      </w:r>
      <w:r w:rsidR="008A0860">
        <w:rPr>
          <w:rFonts w:ascii="Calibri" w:eastAsia="MS Mincho" w:hAnsi="Calibri" w:cs="Times New Roman"/>
          <w:kern w:val="0"/>
          <w:sz w:val="24"/>
          <w:szCs w:val="24"/>
          <w:lang w:val="es-ES"/>
          <w14:ligatures w14:val="none"/>
        </w:rPr>
        <w:tab/>
      </w:r>
      <w:r w:rsidR="00655D17">
        <w:rPr>
          <w:rFonts w:ascii="Calibri" w:eastAsia="MS Mincho" w:hAnsi="Calibri" w:cs="Times New Roman"/>
          <w:kern w:val="0"/>
          <w:sz w:val="24"/>
          <w:szCs w:val="24"/>
          <w:lang w:val="es-ES"/>
          <w14:ligatures w14:val="none"/>
        </w:rPr>
        <w:tab/>
      </w:r>
      <w:r w:rsidR="59722070">
        <w:rPr>
          <w:rFonts w:ascii="Calibri" w:eastAsia="MS Mincho" w:hAnsi="Calibri" w:cs="Times New Roman"/>
          <w:kern w:val="0"/>
          <w:sz w:val="24"/>
          <w:szCs w:val="24"/>
          <w:lang w:val="es-ES"/>
          <w14:ligatures w14:val="none"/>
        </w:rPr>
        <w:t xml:space="preserve"> </w:t>
      </w:r>
      <w:r>
        <w:rPr>
          <w:rFonts w:ascii="Calibri" w:eastAsia="MS Mincho" w:hAnsi="Calibri" w:cs="Times New Roman"/>
          <w:kern w:val="0"/>
          <w:sz w:val="24"/>
          <w:szCs w:val="24"/>
          <w:lang w:val="es-ES"/>
          <w14:ligatures w14:val="none"/>
        </w:rPr>
        <w:t>90</w:t>
      </w:r>
    </w:p>
    <w:p w14:paraId="07F4705A" w14:textId="1BCE671C" w:rsidR="008A0860" w:rsidRDefault="579CA2D6" w:rsidP="296ECA7C">
      <w:pPr>
        <w:numPr>
          <w:ilvl w:val="0"/>
          <w:numId w:val="10"/>
        </w:numPr>
        <w:spacing w:before="100" w:beforeAutospacing="1" w:after="100" w:afterAutospacing="1" w:line="240" w:lineRule="auto"/>
        <w:rPr>
          <w:rFonts w:ascii="Calibri" w:eastAsia="MS Mincho" w:hAnsi="Calibri" w:cs="Times New Roman"/>
          <w:kern w:val="0"/>
          <w:sz w:val="24"/>
          <w:szCs w:val="24"/>
          <w:lang w:val="es-ES"/>
          <w14:ligatures w14:val="none"/>
        </w:rPr>
      </w:pPr>
      <w:r>
        <w:rPr>
          <w:rFonts w:ascii="Calibri" w:eastAsia="MS Mincho" w:hAnsi="Calibri" w:cs="Times New Roman"/>
          <w:kern w:val="0"/>
          <w:sz w:val="24"/>
          <w:szCs w:val="24"/>
          <w:lang w:val="es-ES"/>
          <w14:ligatures w14:val="none"/>
        </w:rPr>
        <w:t>Taller de inteligencia emocional</w:t>
      </w:r>
      <w:r w:rsidR="00655D17">
        <w:rPr>
          <w:rFonts w:ascii="Calibri" w:eastAsia="MS Mincho" w:hAnsi="Calibri" w:cs="Times New Roman"/>
          <w:kern w:val="0"/>
          <w:sz w:val="24"/>
          <w:szCs w:val="24"/>
          <w:lang w:val="es-ES"/>
          <w14:ligatures w14:val="none"/>
        </w:rPr>
        <w:tab/>
      </w:r>
      <w:r w:rsidR="008A0860">
        <w:rPr>
          <w:rFonts w:ascii="Calibri" w:eastAsia="MS Mincho" w:hAnsi="Calibri" w:cs="Times New Roman"/>
          <w:kern w:val="0"/>
          <w:sz w:val="24"/>
          <w:szCs w:val="24"/>
          <w:lang w:val="es-ES"/>
          <w14:ligatures w14:val="none"/>
        </w:rPr>
        <w:tab/>
      </w:r>
      <w:r w:rsidR="008A0860">
        <w:rPr>
          <w:rFonts w:ascii="Calibri" w:eastAsia="MS Mincho" w:hAnsi="Calibri" w:cs="Times New Roman"/>
          <w:kern w:val="0"/>
          <w:sz w:val="24"/>
          <w:szCs w:val="24"/>
          <w:lang w:val="es-ES"/>
          <w14:ligatures w14:val="none"/>
        </w:rPr>
        <w:tab/>
      </w:r>
      <w:r w:rsidR="00655D17">
        <w:rPr>
          <w:rFonts w:ascii="Calibri" w:eastAsia="MS Mincho" w:hAnsi="Calibri" w:cs="Times New Roman"/>
          <w:kern w:val="0"/>
          <w:sz w:val="24"/>
          <w:szCs w:val="24"/>
          <w:lang w:val="es-ES"/>
          <w14:ligatures w14:val="none"/>
        </w:rPr>
        <w:tab/>
      </w:r>
      <w:r w:rsidR="00655D17">
        <w:rPr>
          <w:rFonts w:ascii="Calibri" w:eastAsia="MS Mincho" w:hAnsi="Calibri" w:cs="Times New Roman"/>
          <w:kern w:val="0"/>
          <w:sz w:val="24"/>
          <w:szCs w:val="24"/>
          <w:lang w:val="es-ES"/>
          <w14:ligatures w14:val="none"/>
        </w:rPr>
        <w:tab/>
      </w:r>
      <w:r w:rsidR="00655D17">
        <w:rPr>
          <w:rFonts w:ascii="Calibri" w:eastAsia="MS Mincho" w:hAnsi="Calibri" w:cs="Times New Roman"/>
          <w:kern w:val="0"/>
          <w:sz w:val="24"/>
          <w:szCs w:val="24"/>
          <w:lang w:val="es-ES"/>
          <w14:ligatures w14:val="none"/>
        </w:rPr>
        <w:tab/>
      </w:r>
      <w:r w:rsidR="3F633E34">
        <w:rPr>
          <w:rFonts w:ascii="Calibri" w:eastAsia="MS Mincho" w:hAnsi="Calibri" w:cs="Times New Roman"/>
          <w:kern w:val="0"/>
          <w:sz w:val="24"/>
          <w:szCs w:val="24"/>
          <w:lang w:val="es-ES"/>
          <w14:ligatures w14:val="none"/>
        </w:rPr>
        <w:t xml:space="preserve"> </w:t>
      </w:r>
      <w:r w:rsidR="2A817E55">
        <w:rPr>
          <w:rFonts w:ascii="Calibri" w:eastAsia="MS Mincho" w:hAnsi="Calibri" w:cs="Times New Roman"/>
          <w:kern w:val="0"/>
          <w:sz w:val="24"/>
          <w:szCs w:val="24"/>
          <w:lang w:val="es-ES"/>
          <w14:ligatures w14:val="none"/>
        </w:rPr>
        <w:t>1</w:t>
      </w:r>
      <w:r>
        <w:rPr>
          <w:rFonts w:ascii="Calibri" w:eastAsia="MS Mincho" w:hAnsi="Calibri" w:cs="Times New Roman"/>
          <w:kern w:val="0"/>
          <w:sz w:val="24"/>
          <w:szCs w:val="24"/>
          <w:lang w:val="es-ES"/>
          <w14:ligatures w14:val="none"/>
        </w:rPr>
        <w:t>9</w:t>
      </w:r>
    </w:p>
    <w:p w14:paraId="4FC0CF5F" w14:textId="3C9C1DCD" w:rsidR="00655D17" w:rsidRDefault="579CA2D6" w:rsidP="296ECA7C">
      <w:pPr>
        <w:numPr>
          <w:ilvl w:val="0"/>
          <w:numId w:val="10"/>
        </w:numPr>
        <w:spacing w:before="100" w:beforeAutospacing="1" w:after="100" w:afterAutospacing="1" w:line="240" w:lineRule="auto"/>
        <w:rPr>
          <w:rFonts w:ascii="Calibri" w:eastAsia="MS Mincho" w:hAnsi="Calibri" w:cs="Times New Roman"/>
          <w:kern w:val="0"/>
          <w:sz w:val="24"/>
          <w:szCs w:val="24"/>
          <w:lang w:val="es-ES"/>
          <w14:ligatures w14:val="none"/>
        </w:rPr>
      </w:pPr>
      <w:r>
        <w:rPr>
          <w:rFonts w:ascii="Calibri" w:eastAsia="MS Mincho" w:hAnsi="Calibri" w:cs="Times New Roman"/>
          <w:kern w:val="0"/>
          <w:sz w:val="24"/>
          <w:szCs w:val="24"/>
          <w:lang w:val="es-ES"/>
          <w14:ligatures w14:val="none"/>
        </w:rPr>
        <w:t>Taller pasaportes como elemento de seguridad nacional e internacional</w:t>
      </w:r>
      <w:r w:rsidR="00655D17">
        <w:rPr>
          <w:rFonts w:ascii="Calibri" w:eastAsia="MS Mincho" w:hAnsi="Calibri" w:cs="Times New Roman"/>
          <w:kern w:val="0"/>
          <w:sz w:val="24"/>
          <w:szCs w:val="24"/>
          <w:lang w:val="es-ES"/>
          <w14:ligatures w14:val="none"/>
        </w:rPr>
        <w:tab/>
      </w:r>
      <w:r w:rsidR="28B5C55D">
        <w:rPr>
          <w:rFonts w:ascii="Calibri" w:eastAsia="MS Mincho" w:hAnsi="Calibri" w:cs="Times New Roman"/>
          <w:kern w:val="0"/>
          <w:sz w:val="24"/>
          <w:szCs w:val="24"/>
          <w:lang w:val="es-ES"/>
          <w14:ligatures w14:val="none"/>
        </w:rPr>
        <w:t xml:space="preserve"> </w:t>
      </w:r>
      <w:r>
        <w:rPr>
          <w:rFonts w:ascii="Calibri" w:eastAsia="MS Mincho" w:hAnsi="Calibri" w:cs="Times New Roman"/>
          <w:kern w:val="0"/>
          <w:sz w:val="24"/>
          <w:szCs w:val="24"/>
          <w:lang w:val="es-ES"/>
          <w14:ligatures w14:val="none"/>
        </w:rPr>
        <w:t>31</w:t>
      </w:r>
    </w:p>
    <w:p w14:paraId="102739C3" w14:textId="01BB9623" w:rsidR="008915B9" w:rsidRPr="001D1C15" w:rsidRDefault="579CA2D6" w:rsidP="296ECA7C">
      <w:pPr>
        <w:numPr>
          <w:ilvl w:val="0"/>
          <w:numId w:val="10"/>
        </w:numPr>
        <w:spacing w:before="100" w:beforeAutospacing="1" w:after="100" w:afterAutospacing="1" w:line="240" w:lineRule="auto"/>
        <w:rPr>
          <w:rFonts w:ascii="Calibri" w:eastAsia="MS Mincho" w:hAnsi="Calibri" w:cs="Times New Roman"/>
          <w:kern w:val="0"/>
          <w:sz w:val="24"/>
          <w:szCs w:val="24"/>
          <w:lang w:val="es-ES"/>
          <w14:ligatures w14:val="none"/>
        </w:rPr>
      </w:pPr>
      <w:r>
        <w:rPr>
          <w:rFonts w:ascii="Calibri" w:eastAsia="MS Mincho" w:hAnsi="Calibri" w:cs="Times New Roman"/>
          <w:kern w:val="0"/>
          <w:sz w:val="24"/>
          <w:szCs w:val="24"/>
          <w:lang w:val="es-ES"/>
          <w14:ligatures w14:val="none"/>
        </w:rPr>
        <w:t>Taller de gestión eficiente de documentos</w:t>
      </w:r>
      <w:r w:rsidR="00655D17">
        <w:rPr>
          <w:rFonts w:ascii="Calibri" w:eastAsia="MS Mincho" w:hAnsi="Calibri" w:cs="Times New Roman"/>
          <w:kern w:val="0"/>
          <w:sz w:val="24"/>
          <w:szCs w:val="24"/>
          <w:lang w:val="es-ES"/>
          <w14:ligatures w14:val="none"/>
        </w:rPr>
        <w:tab/>
      </w:r>
      <w:r w:rsidR="00655D17">
        <w:rPr>
          <w:rFonts w:ascii="Calibri" w:eastAsia="MS Mincho" w:hAnsi="Calibri" w:cs="Times New Roman"/>
          <w:kern w:val="0"/>
          <w:sz w:val="24"/>
          <w:szCs w:val="24"/>
          <w:lang w:val="es-ES"/>
          <w14:ligatures w14:val="none"/>
        </w:rPr>
        <w:tab/>
      </w:r>
      <w:r w:rsidR="00655D17">
        <w:rPr>
          <w:rFonts w:ascii="Calibri" w:eastAsia="MS Mincho" w:hAnsi="Calibri" w:cs="Times New Roman"/>
          <w:kern w:val="0"/>
          <w:sz w:val="24"/>
          <w:szCs w:val="24"/>
          <w:lang w:val="es-ES"/>
          <w14:ligatures w14:val="none"/>
        </w:rPr>
        <w:tab/>
      </w:r>
      <w:r w:rsidR="00655D17">
        <w:rPr>
          <w:rFonts w:ascii="Calibri" w:eastAsia="MS Mincho" w:hAnsi="Calibri" w:cs="Times New Roman"/>
          <w:kern w:val="0"/>
          <w:sz w:val="24"/>
          <w:szCs w:val="24"/>
          <w:lang w:val="es-ES"/>
          <w14:ligatures w14:val="none"/>
        </w:rPr>
        <w:tab/>
      </w:r>
      <w:r w:rsidR="00655D17">
        <w:rPr>
          <w:rFonts w:ascii="Calibri" w:eastAsia="MS Mincho" w:hAnsi="Calibri" w:cs="Times New Roman"/>
          <w:kern w:val="0"/>
          <w:sz w:val="24"/>
          <w:szCs w:val="24"/>
          <w:lang w:val="es-ES"/>
          <w14:ligatures w14:val="none"/>
        </w:rPr>
        <w:tab/>
      </w:r>
      <w:r>
        <w:rPr>
          <w:rFonts w:ascii="Calibri" w:eastAsia="MS Mincho" w:hAnsi="Calibri" w:cs="Times New Roman"/>
          <w:kern w:val="0"/>
          <w:sz w:val="24"/>
          <w:szCs w:val="24"/>
          <w:lang w:val="es-ES"/>
          <w14:ligatures w14:val="none"/>
        </w:rPr>
        <w:t xml:space="preserve"> 22</w:t>
      </w:r>
    </w:p>
    <w:p w14:paraId="5F58D9C8" w14:textId="77777777" w:rsidR="008915B9" w:rsidRDefault="008915B9" w:rsidP="006709A4">
      <w:pPr>
        <w:spacing w:after="0" w:line="240" w:lineRule="auto"/>
        <w:jc w:val="center"/>
        <w:rPr>
          <w:rFonts w:ascii="Calibri" w:eastAsia="MS Mincho" w:hAnsi="Calibri" w:cs="Times New Roman"/>
          <w:kern w:val="0"/>
          <w:sz w:val="24"/>
          <w:szCs w:val="24"/>
          <w:lang w:val="es-ES"/>
          <w14:ligatures w14:val="none"/>
        </w:rPr>
      </w:pPr>
    </w:p>
    <w:p w14:paraId="7B600B56" w14:textId="70FCAD1E" w:rsidR="006709A4" w:rsidRPr="0021500E" w:rsidRDefault="00385438" w:rsidP="756E8E9E">
      <w:pPr>
        <w:spacing w:after="0" w:line="240" w:lineRule="auto"/>
        <w:rPr>
          <w:rFonts w:ascii="Calibri" w:eastAsia="MS Mincho" w:hAnsi="Calibri" w:cs="Times New Roman"/>
          <w:color w:val="000000" w:themeColor="text1"/>
          <w:kern w:val="0"/>
          <w:sz w:val="24"/>
          <w:szCs w:val="24"/>
          <w:lang w:val="es-ES"/>
          <w14:ligatures w14:val="none"/>
        </w:rPr>
      </w:pPr>
      <w:r>
        <w:rPr>
          <w:noProof/>
          <w:lang w:val="es-ES" w:eastAsia="es-ES"/>
        </w:rPr>
        <w:drawing>
          <wp:inline distT="0" distB="0" distL="0" distR="0" wp14:anchorId="288A5EC5" wp14:editId="201F7718">
            <wp:extent cx="5612130" cy="2100943"/>
            <wp:effectExtent l="0" t="0" r="7620" b="13970"/>
            <wp:docPr id="422748817"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20B6727-357F-4276-9DC0-4C4A1EC635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122851EA" w:rsidRPr="003143E3">
        <w:rPr>
          <w:rFonts w:ascii="Calibri" w:eastAsia="MS Mincho" w:hAnsi="Calibri" w:cs="Times New Roman"/>
          <w:color w:val="000000" w:themeColor="text1"/>
          <w:kern w:val="0"/>
          <w:sz w:val="24"/>
          <w:szCs w:val="24"/>
          <w:lang w:val="es-ES"/>
          <w14:ligatures w14:val="none"/>
        </w:rPr>
        <w:t xml:space="preserve">En el </w:t>
      </w:r>
      <w:r w:rsidR="17EDD780" w:rsidRPr="003143E3">
        <w:rPr>
          <w:rFonts w:ascii="Calibri" w:eastAsia="MS Mincho" w:hAnsi="Calibri" w:cs="Times New Roman"/>
          <w:color w:val="000000" w:themeColor="text1"/>
          <w:kern w:val="0"/>
          <w:sz w:val="24"/>
          <w:szCs w:val="24"/>
          <w:lang w:val="es-ES"/>
          <w14:ligatures w14:val="none"/>
        </w:rPr>
        <w:t>cuarto</w:t>
      </w:r>
      <w:r w:rsidR="122851EA" w:rsidRPr="003143E3">
        <w:rPr>
          <w:rFonts w:ascii="Calibri" w:eastAsia="MS Mincho" w:hAnsi="Calibri" w:cs="Times New Roman"/>
          <w:color w:val="000000" w:themeColor="text1"/>
          <w:kern w:val="0"/>
          <w:sz w:val="24"/>
          <w:szCs w:val="24"/>
          <w:lang w:val="es-ES"/>
          <w14:ligatures w14:val="none"/>
        </w:rPr>
        <w:t xml:space="preserve"> trimestre </w:t>
      </w:r>
      <w:r w:rsidR="432F9503" w:rsidRPr="003143E3">
        <w:rPr>
          <w:rFonts w:ascii="Calibri" w:eastAsia="MS Mincho" w:hAnsi="Calibri" w:cs="Times New Roman"/>
          <w:color w:val="000000" w:themeColor="text1"/>
          <w:kern w:val="0"/>
          <w:sz w:val="24"/>
          <w:szCs w:val="24"/>
          <w:lang w:val="es-ES"/>
          <w14:ligatures w14:val="none"/>
        </w:rPr>
        <w:t>se completó el proceso de reclutamiento y selección que cumple con los perfiles</w:t>
      </w:r>
    </w:p>
    <w:p w14:paraId="4597241C" w14:textId="20F79661" w:rsidR="001D1C15" w:rsidRDefault="001D1C15" w:rsidP="756E8E9E">
      <w:pPr>
        <w:suppressAutoHyphens/>
        <w:autoSpaceDN w:val="0"/>
        <w:spacing w:after="0" w:line="276" w:lineRule="auto"/>
        <w:ind w:right="57"/>
        <w:jc w:val="both"/>
        <w:rPr>
          <w:rFonts w:ascii="Calibri" w:eastAsia="MS Mincho" w:hAnsi="Calibri" w:cs="Times New Roman"/>
          <w:b/>
          <w:bCs/>
          <w:i/>
          <w:iCs/>
          <w:kern w:val="0"/>
          <w:sz w:val="25"/>
          <w:szCs w:val="25"/>
          <w:u w:val="single"/>
          <w:lang w:val="es-ES"/>
          <w14:ligatures w14:val="none"/>
        </w:rPr>
      </w:pPr>
    </w:p>
    <w:p w14:paraId="4380469C" w14:textId="0E614B6C" w:rsidR="00B92405" w:rsidRDefault="00B92405" w:rsidP="00B92405">
      <w:pPr>
        <w:suppressAutoHyphens/>
        <w:autoSpaceDN w:val="0"/>
        <w:spacing w:after="0" w:line="276" w:lineRule="auto"/>
        <w:ind w:right="57"/>
        <w:jc w:val="both"/>
        <w:rPr>
          <w:rFonts w:ascii="Calibri" w:eastAsia="MS Mincho" w:hAnsi="Calibri" w:cs="Times New Roman"/>
          <w:b/>
          <w:i/>
          <w:iCs/>
          <w:noProof/>
          <w:kern w:val="0"/>
          <w:sz w:val="25"/>
          <w:szCs w:val="25"/>
          <w:u w:val="single"/>
          <w:lang w:val="es-ES"/>
          <w14:ligatures w14:val="none"/>
        </w:rPr>
      </w:pPr>
      <w:r w:rsidRPr="00B92405">
        <w:rPr>
          <w:rFonts w:ascii="Calibri" w:eastAsia="MS Mincho" w:hAnsi="Calibri" w:cs="Times New Roman"/>
          <w:b/>
          <w:i/>
          <w:iCs/>
          <w:kern w:val="0"/>
          <w:sz w:val="25"/>
          <w:szCs w:val="25"/>
          <w:u w:val="single"/>
          <w:lang w:val="es-ES"/>
          <w14:ligatures w14:val="none"/>
        </w:rPr>
        <w:t>Área Responsable: Administrativo. áreas Involucradas: Dirección administrativa y financiera, MAE, compra, suministro, trasportación y servicios generales.</w:t>
      </w:r>
    </w:p>
    <w:p w14:paraId="03B71DAA" w14:textId="77777777" w:rsidR="00FC56C3" w:rsidRDefault="00FC56C3" w:rsidP="00B92405">
      <w:pPr>
        <w:suppressAutoHyphens/>
        <w:autoSpaceDN w:val="0"/>
        <w:spacing w:after="0" w:line="276" w:lineRule="auto"/>
        <w:ind w:right="57"/>
        <w:jc w:val="both"/>
        <w:rPr>
          <w:rFonts w:ascii="Calibri" w:eastAsia="MS Mincho" w:hAnsi="Calibri" w:cs="Times New Roman"/>
          <w:b/>
          <w:i/>
          <w:iCs/>
          <w:noProof/>
          <w:kern w:val="0"/>
          <w:sz w:val="25"/>
          <w:szCs w:val="25"/>
          <w:u w:val="single"/>
          <w:lang w:val="es-ES"/>
          <w14:ligatures w14:val="none"/>
        </w:rPr>
      </w:pPr>
    </w:p>
    <w:p w14:paraId="689C0D38" w14:textId="448FCECC" w:rsidR="00FC56C3" w:rsidRPr="00FC56C3" w:rsidRDefault="00AE063B" w:rsidP="00B92405">
      <w:pPr>
        <w:suppressAutoHyphens/>
        <w:autoSpaceDN w:val="0"/>
        <w:spacing w:after="0" w:line="276" w:lineRule="auto"/>
        <w:ind w:right="57"/>
        <w:jc w:val="both"/>
        <w:rPr>
          <w:rFonts w:ascii="Calibri" w:eastAsia="MS Mincho" w:hAnsi="Calibri" w:cs="Times New Roman"/>
          <w:kern w:val="0"/>
          <w:sz w:val="24"/>
          <w:szCs w:val="24"/>
          <w:lang w:val="es-ES"/>
          <w14:ligatures w14:val="none"/>
        </w:rPr>
      </w:pPr>
      <w:r>
        <w:rPr>
          <w:noProof/>
          <w:lang w:val="es-ES" w:eastAsia="es-ES"/>
        </w:rPr>
        <w:drawing>
          <wp:inline distT="0" distB="0" distL="0" distR="0" wp14:anchorId="5BFD4FBC" wp14:editId="0F98EBB1">
            <wp:extent cx="5612130" cy="2315210"/>
            <wp:effectExtent l="0" t="0" r="7620" b="8890"/>
            <wp:docPr id="464057817"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5C4E867-F1C6-4413-8CF3-0F8A16DC4C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006709A4" w:rsidRPr="00B92405">
        <w:rPr>
          <w:rFonts w:ascii="Calibri" w:eastAsia="MS Mincho" w:hAnsi="Calibri" w:cs="Times New Roman"/>
          <w:kern w:val="0"/>
          <w:sz w:val="24"/>
          <w:szCs w:val="24"/>
          <w:lang w:val="es-ES"/>
          <w14:ligatures w14:val="none"/>
        </w:rPr>
        <w:t>Los mantenimientos de planta física tanto de la Sede Central como las OPP:</w:t>
      </w:r>
    </w:p>
    <w:p w14:paraId="45B412E8" w14:textId="2C4C72EA" w:rsidR="006709A4" w:rsidRPr="00B92405" w:rsidRDefault="006709A4" w:rsidP="006709A4">
      <w:pPr>
        <w:suppressAutoHyphens/>
        <w:autoSpaceDN w:val="0"/>
        <w:spacing w:after="0" w:line="276" w:lineRule="auto"/>
        <w:ind w:left="57" w:right="-427"/>
        <w:jc w:val="both"/>
        <w:rPr>
          <w:rFonts w:ascii="Calibri" w:eastAsia="MS Mincho" w:hAnsi="Calibri" w:cs="Times New Roman"/>
          <w:kern w:val="0"/>
          <w:sz w:val="24"/>
          <w:szCs w:val="24"/>
          <w:lang w:val="es-ES"/>
          <w14:ligatures w14:val="none"/>
        </w:rPr>
      </w:pPr>
      <w:r w:rsidRPr="00B92405">
        <w:rPr>
          <w:rFonts w:ascii="Calibri" w:eastAsia="MS Mincho" w:hAnsi="Calibri" w:cs="Times New Roman"/>
          <w:kern w:val="0"/>
          <w:sz w:val="24"/>
          <w:szCs w:val="24"/>
          <w:lang w:val="es-ES"/>
          <w14:ligatures w14:val="none"/>
        </w:rPr>
        <w:lastRenderedPageBreak/>
        <w:t xml:space="preserve">Se planifican los días de un trimestre completo en los cuales se dará mantenimiento a las plantas físicas, sin embargo, en caso de presentarse alguna situación de emergencia en cualquiera de las oficinas, pues esta se convierte en una </w:t>
      </w:r>
      <w:r w:rsidR="003D0E69" w:rsidRPr="003D0E69">
        <w:rPr>
          <w:rFonts w:ascii="Calibri" w:eastAsia="MS Mincho" w:hAnsi="Calibri" w:cs="Times New Roman"/>
          <w:kern w:val="0"/>
          <w:sz w:val="24"/>
          <w:szCs w:val="24"/>
          <w:lang w:val="es-ES"/>
          <w14:ligatures w14:val="none"/>
        </w:rPr>
        <w:t>prioridad</w:t>
      </w:r>
      <w:r w:rsidRPr="00B92405">
        <w:rPr>
          <w:rFonts w:ascii="Calibri" w:eastAsia="MS Mincho" w:hAnsi="Calibri" w:cs="Times New Roman"/>
          <w:kern w:val="0"/>
          <w:sz w:val="24"/>
          <w:szCs w:val="24"/>
          <w:lang w:val="es-ES"/>
          <w14:ligatures w14:val="none"/>
        </w:rPr>
        <w:t xml:space="preserve"> y debido a esto puede haber diferencias entre lo planeado y lo realizado.</w:t>
      </w:r>
    </w:p>
    <w:p w14:paraId="284627E6" w14:textId="77777777" w:rsidR="006709A4" w:rsidRPr="00B92405" w:rsidRDefault="006709A4" w:rsidP="006709A4">
      <w:pPr>
        <w:suppressAutoHyphens/>
        <w:autoSpaceDN w:val="0"/>
        <w:spacing w:after="0" w:line="276" w:lineRule="auto"/>
        <w:ind w:right="-427"/>
        <w:jc w:val="both"/>
        <w:rPr>
          <w:rFonts w:ascii="Calibri" w:eastAsia="MS Mincho" w:hAnsi="Calibri" w:cs="Times New Roman"/>
          <w:kern w:val="0"/>
          <w:sz w:val="24"/>
          <w:szCs w:val="24"/>
          <w:lang w:val="es-ES"/>
          <w14:ligatures w14:val="none"/>
        </w:rPr>
      </w:pPr>
    </w:p>
    <w:p w14:paraId="65582DC4" w14:textId="525110A6" w:rsidR="006709A4" w:rsidRPr="003D0E69" w:rsidRDefault="122851EA" w:rsidP="003D0E69">
      <w:pPr>
        <w:suppressAutoHyphens/>
        <w:autoSpaceDN w:val="0"/>
        <w:spacing w:after="0" w:line="276" w:lineRule="auto"/>
        <w:ind w:left="57" w:right="-427"/>
        <w:jc w:val="both"/>
        <w:rPr>
          <w:rFonts w:ascii="Calibri" w:eastAsia="MS Mincho" w:hAnsi="Calibri" w:cs="Times New Roman"/>
          <w:bCs/>
          <w:kern w:val="0"/>
          <w:sz w:val="24"/>
          <w:lang w:val="es-ES"/>
          <w14:ligatures w14:val="none"/>
        </w:rPr>
      </w:pPr>
      <w:r w:rsidRPr="00B92405">
        <w:rPr>
          <w:rFonts w:ascii="Calibri" w:eastAsia="MS Mincho" w:hAnsi="Calibri" w:cs="Times New Roman"/>
          <w:kern w:val="0"/>
          <w:sz w:val="24"/>
          <w:szCs w:val="24"/>
          <w:lang w:val="es-ES"/>
          <w14:ligatures w14:val="none"/>
        </w:rPr>
        <w:t xml:space="preserve">Es bueno resaltar que las evidencias aportadas en cuanto a los mantenimientos de la Planta física DGP, </w:t>
      </w:r>
      <w:r w:rsidRPr="296ECA7C">
        <w:rPr>
          <w:rFonts w:ascii="Calibri" w:eastAsia="MS Mincho" w:hAnsi="Calibri" w:cs="Times New Roman"/>
          <w:kern w:val="0"/>
          <w:sz w:val="24"/>
          <w:szCs w:val="24"/>
          <w:lang w:val="es-ES"/>
          <w14:ligatures w14:val="none"/>
        </w:rPr>
        <w:t xml:space="preserve">constamos con los levantamientos de este trimestre y se cumplieron cada uno de esos mantenimientos. </w:t>
      </w:r>
    </w:p>
    <w:p w14:paraId="4AB82901" w14:textId="77777777" w:rsidR="00455D79" w:rsidRDefault="00455D79" w:rsidP="00455D79">
      <w:pPr>
        <w:suppressAutoHyphens/>
        <w:autoSpaceDN w:val="0"/>
        <w:spacing w:after="0" w:line="240" w:lineRule="auto"/>
        <w:ind w:right="57"/>
        <w:jc w:val="both"/>
        <w:rPr>
          <w:rFonts w:ascii="Calibri" w:eastAsia="MS Mincho" w:hAnsi="Calibri" w:cs="Times New Roman"/>
          <w:kern w:val="0"/>
          <w:sz w:val="24"/>
          <w:szCs w:val="24"/>
          <w:lang w:val="es-ES"/>
          <w14:ligatures w14:val="none"/>
        </w:rPr>
      </w:pPr>
    </w:p>
    <w:p w14:paraId="69C6C158" w14:textId="53E1DB46" w:rsidR="00AE063B" w:rsidRDefault="00AE063B" w:rsidP="00455D79">
      <w:pPr>
        <w:suppressAutoHyphens/>
        <w:autoSpaceDN w:val="0"/>
        <w:spacing w:after="0" w:line="240" w:lineRule="auto"/>
        <w:ind w:right="57"/>
        <w:jc w:val="both"/>
        <w:rPr>
          <w:rFonts w:ascii="Calibri" w:eastAsia="MS Mincho" w:hAnsi="Calibri" w:cs="Times New Roman"/>
          <w:kern w:val="0"/>
          <w:sz w:val="24"/>
          <w:szCs w:val="24"/>
          <w:lang w:val="es-ES"/>
          <w14:ligatures w14:val="none"/>
        </w:rPr>
      </w:pPr>
      <w:r>
        <w:rPr>
          <w:noProof/>
          <w:lang w:val="es-ES" w:eastAsia="es-ES"/>
        </w:rPr>
        <w:drawing>
          <wp:inline distT="0" distB="0" distL="0" distR="0" wp14:anchorId="1AA5E705" wp14:editId="7E39C4DB">
            <wp:extent cx="5612130" cy="1981200"/>
            <wp:effectExtent l="0" t="0" r="7620" b="0"/>
            <wp:docPr id="1202746397"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9E97E92-42F4-440D-A45B-3B31EF253D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Pr>
          <w:rFonts w:ascii="Calibri" w:eastAsia="MS Mincho" w:hAnsi="Calibri" w:cs="Times New Roman"/>
          <w:kern w:val="0"/>
          <w:sz w:val="24"/>
          <w:szCs w:val="24"/>
          <w:lang w:val="es-ES"/>
          <w14:ligatures w14:val="none"/>
        </w:rPr>
        <w:t xml:space="preserve">La institución cuanta también con un cronograma para limpieza y mantenimiento de aires acondicionado. </w:t>
      </w:r>
    </w:p>
    <w:p w14:paraId="1E332ED1" w14:textId="77777777" w:rsidR="00AE063B" w:rsidRPr="00455D79" w:rsidRDefault="00AE063B" w:rsidP="00455D79">
      <w:pPr>
        <w:suppressAutoHyphens/>
        <w:autoSpaceDN w:val="0"/>
        <w:spacing w:after="0" w:line="240" w:lineRule="auto"/>
        <w:ind w:right="57"/>
        <w:jc w:val="both"/>
        <w:rPr>
          <w:rFonts w:ascii="Calibri" w:eastAsia="MS Mincho" w:hAnsi="Calibri" w:cs="Times New Roman"/>
          <w:kern w:val="0"/>
          <w:sz w:val="24"/>
          <w:szCs w:val="24"/>
          <w:lang w:val="es-ES"/>
          <w14:ligatures w14:val="none"/>
        </w:rPr>
      </w:pPr>
    </w:p>
    <w:p w14:paraId="64F9DC54" w14:textId="617C9AA8" w:rsidR="00D55D2C" w:rsidRDefault="00702354" w:rsidP="756E8E9E">
      <w:pPr>
        <w:suppressAutoHyphens/>
        <w:autoSpaceDN w:val="0"/>
        <w:spacing w:after="0" w:line="276" w:lineRule="auto"/>
        <w:ind w:right="57"/>
        <w:jc w:val="both"/>
        <w:rPr>
          <w:rFonts w:ascii="Calibri" w:eastAsia="MS Mincho" w:hAnsi="Calibri" w:cs="Times New Roman"/>
          <w:kern w:val="0"/>
          <w:sz w:val="24"/>
          <w:szCs w:val="24"/>
          <w:lang w:val="es-ES"/>
          <w14:ligatures w14:val="none"/>
        </w:rPr>
      </w:pPr>
      <w:r>
        <w:rPr>
          <w:noProof/>
          <w:lang w:val="es-ES" w:eastAsia="es-ES"/>
        </w:rPr>
        <w:drawing>
          <wp:inline distT="0" distB="0" distL="0" distR="0" wp14:anchorId="38490BE6" wp14:editId="57E20383">
            <wp:extent cx="5612130" cy="2035628"/>
            <wp:effectExtent l="0" t="0" r="7620" b="3175"/>
            <wp:docPr id="1095720631"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15B1189-C55A-2C58-C024-B515466F4D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00973405" w:rsidRPr="756E8E9E">
        <w:rPr>
          <w:rFonts w:ascii="Calibri" w:eastAsia="MS Mincho" w:hAnsi="Calibri" w:cs="Times New Roman"/>
          <w:kern w:val="0"/>
          <w:sz w:val="24"/>
          <w:szCs w:val="24"/>
          <w:lang w:val="es-ES"/>
          <w14:ligatures w14:val="none"/>
        </w:rPr>
        <w:t xml:space="preserve">Este trimestre se completó la solicitud de adquisición de vehículos, la compra de dichos </w:t>
      </w:r>
      <w:r w:rsidR="00191018" w:rsidRPr="756E8E9E">
        <w:rPr>
          <w:rFonts w:ascii="Calibri" w:eastAsia="MS Mincho" w:hAnsi="Calibri" w:cs="Times New Roman"/>
          <w:kern w:val="0"/>
          <w:sz w:val="24"/>
          <w:szCs w:val="24"/>
          <w:lang w:val="es-ES"/>
          <w14:ligatures w14:val="none"/>
        </w:rPr>
        <w:t>vehículos</w:t>
      </w:r>
      <w:r w:rsidR="00973405" w:rsidRPr="756E8E9E">
        <w:rPr>
          <w:rFonts w:ascii="Calibri" w:eastAsia="MS Mincho" w:hAnsi="Calibri" w:cs="Times New Roman"/>
          <w:kern w:val="0"/>
          <w:sz w:val="24"/>
          <w:szCs w:val="24"/>
          <w:lang w:val="es-ES"/>
          <w14:ligatures w14:val="none"/>
        </w:rPr>
        <w:t xml:space="preserve"> fue para eficientizar los servicios internos como externos de la DGP.</w:t>
      </w:r>
    </w:p>
    <w:p w14:paraId="38033B00" w14:textId="6F3BAC85" w:rsidR="00973405" w:rsidRPr="00191018" w:rsidRDefault="00973405" w:rsidP="00191018">
      <w:pPr>
        <w:pStyle w:val="Prrafodelista"/>
        <w:numPr>
          <w:ilvl w:val="0"/>
          <w:numId w:val="13"/>
        </w:numPr>
        <w:suppressAutoHyphens/>
        <w:autoSpaceDN w:val="0"/>
        <w:spacing w:after="0" w:line="276" w:lineRule="auto"/>
        <w:ind w:right="57"/>
        <w:jc w:val="both"/>
        <w:rPr>
          <w:rFonts w:ascii="Calibri" w:eastAsia="MS Mincho" w:hAnsi="Calibri" w:cs="Times New Roman"/>
          <w:kern w:val="0"/>
          <w:sz w:val="24"/>
          <w:lang w:val="es-ES"/>
          <w14:ligatures w14:val="none"/>
        </w:rPr>
      </w:pPr>
      <w:r w:rsidRPr="00191018">
        <w:rPr>
          <w:rFonts w:ascii="Calibri" w:eastAsia="MS Mincho" w:hAnsi="Calibri" w:cs="Times New Roman"/>
          <w:kern w:val="0"/>
          <w:sz w:val="24"/>
          <w:lang w:val="es-ES"/>
          <w14:ligatures w14:val="none"/>
        </w:rPr>
        <w:t xml:space="preserve">Un autobús </w:t>
      </w:r>
      <w:r w:rsidR="00191018" w:rsidRPr="00191018">
        <w:rPr>
          <w:rFonts w:ascii="Calibri" w:eastAsia="MS Mincho" w:hAnsi="Calibri" w:cs="Times New Roman"/>
          <w:kern w:val="0"/>
          <w:sz w:val="24"/>
          <w:lang w:val="es-ES"/>
          <w14:ligatures w14:val="none"/>
        </w:rPr>
        <w:t>de 30</w:t>
      </w:r>
      <w:r w:rsidRPr="00191018">
        <w:rPr>
          <w:rFonts w:ascii="Calibri" w:eastAsia="MS Mincho" w:hAnsi="Calibri" w:cs="Times New Roman"/>
          <w:kern w:val="0"/>
          <w:sz w:val="24"/>
          <w:lang w:val="es-ES"/>
          <w14:ligatures w14:val="none"/>
        </w:rPr>
        <w:t xml:space="preserve"> pasajero.</w:t>
      </w:r>
    </w:p>
    <w:p w14:paraId="591957B6" w14:textId="0117FE67" w:rsidR="00973405" w:rsidRPr="00191018" w:rsidRDefault="00973405" w:rsidP="00191018">
      <w:pPr>
        <w:pStyle w:val="Prrafodelista"/>
        <w:numPr>
          <w:ilvl w:val="0"/>
          <w:numId w:val="13"/>
        </w:numPr>
        <w:suppressAutoHyphens/>
        <w:autoSpaceDN w:val="0"/>
        <w:spacing w:after="0" w:line="276" w:lineRule="auto"/>
        <w:ind w:right="57"/>
        <w:jc w:val="both"/>
        <w:rPr>
          <w:rFonts w:ascii="Calibri" w:eastAsia="MS Mincho" w:hAnsi="Calibri" w:cs="Times New Roman"/>
          <w:kern w:val="0"/>
          <w:sz w:val="24"/>
          <w:lang w:val="es-ES"/>
          <w14:ligatures w14:val="none"/>
        </w:rPr>
      </w:pPr>
      <w:r w:rsidRPr="00191018">
        <w:rPr>
          <w:rFonts w:ascii="Calibri" w:eastAsia="MS Mincho" w:hAnsi="Calibri" w:cs="Times New Roman"/>
          <w:kern w:val="0"/>
          <w:sz w:val="24"/>
          <w:lang w:val="es-ES"/>
          <w14:ligatures w14:val="none"/>
        </w:rPr>
        <w:t xml:space="preserve">Un minibús para el trasporte de </w:t>
      </w:r>
      <w:r w:rsidR="00191018" w:rsidRPr="00191018">
        <w:rPr>
          <w:rFonts w:ascii="Calibri" w:eastAsia="MS Mincho" w:hAnsi="Calibri" w:cs="Times New Roman"/>
          <w:kern w:val="0"/>
          <w:sz w:val="24"/>
          <w:lang w:val="es-ES"/>
          <w14:ligatures w14:val="none"/>
        </w:rPr>
        <w:t>las libretas</w:t>
      </w:r>
    </w:p>
    <w:p w14:paraId="600C1A87" w14:textId="3C8DC222" w:rsidR="00973405" w:rsidRPr="00191018" w:rsidRDefault="00191018" w:rsidP="00191018">
      <w:pPr>
        <w:pStyle w:val="Prrafodelista"/>
        <w:numPr>
          <w:ilvl w:val="0"/>
          <w:numId w:val="13"/>
        </w:numPr>
        <w:suppressAutoHyphens/>
        <w:autoSpaceDN w:val="0"/>
        <w:spacing w:after="0" w:line="276" w:lineRule="auto"/>
        <w:ind w:right="57"/>
        <w:jc w:val="both"/>
        <w:rPr>
          <w:rFonts w:ascii="Calibri" w:eastAsia="MS Mincho" w:hAnsi="Calibri" w:cs="Times New Roman"/>
          <w:kern w:val="0"/>
          <w:sz w:val="24"/>
          <w:lang w:val="es-ES"/>
          <w14:ligatures w14:val="none"/>
        </w:rPr>
      </w:pPr>
      <w:r w:rsidRPr="00191018">
        <w:rPr>
          <w:rFonts w:ascii="Calibri" w:eastAsia="MS Mincho" w:hAnsi="Calibri" w:cs="Times New Roman"/>
          <w:kern w:val="0"/>
          <w:sz w:val="24"/>
          <w:lang w:val="es-ES"/>
          <w14:ligatures w14:val="none"/>
        </w:rPr>
        <w:t xml:space="preserve">Tres camiones de doble cabina para la labores operativa y administrativa. </w:t>
      </w:r>
      <w:r w:rsidR="00973405" w:rsidRPr="00191018">
        <w:rPr>
          <w:rFonts w:ascii="Calibri" w:eastAsia="MS Mincho" w:hAnsi="Calibri" w:cs="Times New Roman"/>
          <w:kern w:val="0"/>
          <w:sz w:val="24"/>
          <w:lang w:val="es-ES"/>
          <w14:ligatures w14:val="none"/>
        </w:rPr>
        <w:t xml:space="preserve"> </w:t>
      </w:r>
    </w:p>
    <w:p w14:paraId="3029ABF5" w14:textId="2459AF9A" w:rsidR="002D57E0" w:rsidRDefault="002D57E0" w:rsidP="00B92405">
      <w:pPr>
        <w:suppressAutoHyphens/>
        <w:autoSpaceDN w:val="0"/>
        <w:spacing w:after="0" w:line="276" w:lineRule="auto"/>
        <w:ind w:right="57"/>
        <w:jc w:val="both"/>
        <w:rPr>
          <w:rFonts w:ascii="Calibri" w:eastAsia="MS Mincho" w:hAnsi="Calibri" w:cs="Times New Roman"/>
          <w:kern w:val="0"/>
          <w:sz w:val="24"/>
          <w:lang w:val="es-ES"/>
          <w14:ligatures w14:val="none"/>
        </w:rPr>
      </w:pPr>
    </w:p>
    <w:p w14:paraId="29F219CB" w14:textId="25613833" w:rsidR="002D57E0" w:rsidRDefault="00AE063B" w:rsidP="756E8E9E">
      <w:pPr>
        <w:suppressAutoHyphens/>
        <w:autoSpaceDN w:val="0"/>
        <w:spacing w:after="0" w:line="276" w:lineRule="auto"/>
        <w:ind w:right="57"/>
        <w:jc w:val="both"/>
        <w:rPr>
          <w:rFonts w:ascii="Calibri" w:eastAsia="MS Mincho" w:hAnsi="Calibri" w:cs="Times New Roman"/>
          <w:kern w:val="0"/>
          <w:sz w:val="24"/>
          <w:szCs w:val="24"/>
          <w:lang w:val="es-ES"/>
          <w14:ligatures w14:val="none"/>
        </w:rPr>
      </w:pPr>
      <w:r>
        <w:rPr>
          <w:noProof/>
          <w:lang w:val="es-ES" w:eastAsia="es-ES"/>
        </w:rPr>
        <w:lastRenderedPageBreak/>
        <w:drawing>
          <wp:inline distT="0" distB="0" distL="0" distR="0" wp14:anchorId="1DB5B09B" wp14:editId="4AB4F850">
            <wp:extent cx="5612130" cy="2309495"/>
            <wp:effectExtent l="0" t="0" r="7620" b="14605"/>
            <wp:docPr id="873897736"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EEB978E-B517-4C56-B793-ED71EF9ED5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00191018" w:rsidRPr="756E8E9E">
        <w:rPr>
          <w:rFonts w:ascii="Calibri" w:eastAsia="MS Mincho" w:hAnsi="Calibri" w:cs="Times New Roman"/>
          <w:kern w:val="0"/>
          <w:sz w:val="24"/>
          <w:szCs w:val="24"/>
          <w:lang w:val="es-ES"/>
          <w14:ligatures w14:val="none"/>
        </w:rPr>
        <w:t xml:space="preserve">La dirección general de pasaporte tiene centros de mantenimiento para los vehículos más antiguo, pero la nueva flotilla tiene la garantía de santo domingo motor donde se adquirió, así de maximice el tiempo de actividad de los vehículos asegurándose de que está rindiendo al máximo. </w:t>
      </w:r>
    </w:p>
    <w:p w14:paraId="3C955351" w14:textId="77777777" w:rsidR="00D55D2C" w:rsidRDefault="00D55D2C" w:rsidP="00B92405">
      <w:pPr>
        <w:autoSpaceDN w:val="0"/>
        <w:spacing w:after="0" w:line="240" w:lineRule="auto"/>
        <w:ind w:right="57"/>
        <w:jc w:val="both"/>
        <w:rPr>
          <w:rFonts w:ascii="Calibri" w:eastAsia="MS Mincho" w:hAnsi="Calibri" w:cs="Times New Roman"/>
          <w:kern w:val="0"/>
          <w:sz w:val="24"/>
          <w:szCs w:val="24"/>
          <w:lang w:val="es-ES"/>
          <w14:ligatures w14:val="none"/>
        </w:rPr>
      </w:pPr>
    </w:p>
    <w:p w14:paraId="3B5AF44A" w14:textId="47AA2743" w:rsidR="00B92405" w:rsidRPr="00B92405" w:rsidRDefault="00702354" w:rsidP="00B92405">
      <w:pPr>
        <w:autoSpaceDN w:val="0"/>
        <w:spacing w:after="0" w:line="240" w:lineRule="auto"/>
        <w:ind w:right="57"/>
        <w:jc w:val="both"/>
        <w:rPr>
          <w:rFonts w:ascii="Calibri" w:eastAsia="MS Mincho" w:hAnsi="Calibri" w:cs="Times New Roman"/>
          <w:kern w:val="0"/>
          <w:sz w:val="24"/>
          <w:szCs w:val="24"/>
          <w:lang w:val="es-ES"/>
          <w14:ligatures w14:val="none"/>
        </w:rPr>
      </w:pPr>
      <w:r>
        <w:rPr>
          <w:noProof/>
          <w:lang w:val="es-ES" w:eastAsia="es-ES"/>
        </w:rPr>
        <w:drawing>
          <wp:inline distT="0" distB="0" distL="0" distR="0" wp14:anchorId="6B8006C4" wp14:editId="1411DA64">
            <wp:extent cx="5610225" cy="2033588"/>
            <wp:effectExtent l="0" t="0" r="9525" b="5080"/>
            <wp:docPr id="2095839022"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8E5477F-456D-4815-9431-EE873D2EDB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00B92405" w:rsidRPr="00B92405">
        <w:rPr>
          <w:rFonts w:ascii="Calibri" w:eastAsia="MS Mincho" w:hAnsi="Calibri" w:cs="Times New Roman"/>
          <w:kern w:val="0"/>
          <w:sz w:val="24"/>
          <w:szCs w:val="24"/>
          <w:lang w:val="es-ES"/>
          <w14:ligatures w14:val="none"/>
        </w:rPr>
        <w:t xml:space="preserve">Las evidencias aportadas de este trimestre fue la solicitud de los Mobiliarios (Activos Fijos), a ser utilizados por la DGP. </w:t>
      </w:r>
    </w:p>
    <w:p w14:paraId="343F9819" w14:textId="77777777" w:rsidR="00664CDD" w:rsidRPr="00B92405" w:rsidRDefault="00664CDD" w:rsidP="00B92405">
      <w:pPr>
        <w:suppressAutoHyphens/>
        <w:autoSpaceDN w:val="0"/>
        <w:spacing w:after="0" w:line="276" w:lineRule="auto"/>
        <w:ind w:right="-1"/>
        <w:jc w:val="both"/>
        <w:rPr>
          <w:rFonts w:ascii="Calibri" w:eastAsia="MS Mincho" w:hAnsi="Calibri" w:cs="Times New Roman"/>
          <w:kern w:val="0"/>
          <w:sz w:val="24"/>
          <w:szCs w:val="24"/>
          <w:lang w:val="es-ES"/>
          <w14:ligatures w14:val="none"/>
        </w:rPr>
      </w:pPr>
    </w:p>
    <w:p w14:paraId="103BD1B4" w14:textId="014D20AF" w:rsidR="003D0E69" w:rsidRPr="003D0E69" w:rsidRDefault="00702354" w:rsidP="00B92405">
      <w:pPr>
        <w:suppressAutoHyphens/>
        <w:autoSpaceDN w:val="0"/>
        <w:spacing w:after="0" w:line="276" w:lineRule="auto"/>
        <w:ind w:left="57" w:right="57"/>
        <w:jc w:val="both"/>
        <w:rPr>
          <w:rFonts w:ascii="Calibri" w:eastAsia="MS Mincho" w:hAnsi="Calibri" w:cs="Times New Roman"/>
          <w:kern w:val="0"/>
          <w:sz w:val="24"/>
          <w:szCs w:val="24"/>
          <w:lang w:val="es-ES"/>
          <w14:ligatures w14:val="none"/>
        </w:rPr>
      </w:pPr>
      <w:r>
        <w:rPr>
          <w:noProof/>
          <w:lang w:val="es-ES" w:eastAsia="es-ES"/>
        </w:rPr>
        <w:drawing>
          <wp:inline distT="0" distB="0" distL="0" distR="0" wp14:anchorId="2F3F99A8" wp14:editId="53D705FE">
            <wp:extent cx="5688332" cy="2200910"/>
            <wp:effectExtent l="0" t="0" r="7620" b="8890"/>
            <wp:docPr id="207901459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43">
                      <a:extLst>
                        <a:ext uri="{28A0092B-C50C-407E-A947-70E740481C1C}">
                          <a14:useLocalDpi xmlns:a14="http://schemas.microsoft.com/office/drawing/2010/main" val="0"/>
                        </a:ext>
                      </a:extLst>
                    </a:blip>
                    <a:stretch>
                      <a:fillRect/>
                    </a:stretch>
                  </pic:blipFill>
                  <pic:spPr>
                    <a:xfrm>
                      <a:off x="0" y="0"/>
                      <a:ext cx="5688332" cy="2200910"/>
                    </a:xfrm>
                    <a:prstGeom prst="rect">
                      <a:avLst/>
                    </a:prstGeom>
                  </pic:spPr>
                </pic:pic>
              </a:graphicData>
            </a:graphic>
          </wp:inline>
        </w:drawing>
      </w:r>
      <w:r w:rsidR="003D0E69" w:rsidRPr="003D0E69">
        <w:rPr>
          <w:rFonts w:ascii="Calibri" w:eastAsia="MS Mincho" w:hAnsi="Calibri" w:cs="Times New Roman"/>
          <w:kern w:val="0"/>
          <w:sz w:val="24"/>
          <w:szCs w:val="24"/>
          <w:lang w:val="es-ES"/>
          <w14:ligatures w14:val="none"/>
        </w:rPr>
        <w:t xml:space="preserve">Este producto </w:t>
      </w:r>
      <w:r w:rsidR="008915B9" w:rsidRPr="003D0E69">
        <w:rPr>
          <w:rFonts w:ascii="Calibri" w:eastAsia="MS Mincho" w:hAnsi="Calibri" w:cs="Times New Roman"/>
          <w:kern w:val="0"/>
          <w:sz w:val="24"/>
          <w:szCs w:val="24"/>
          <w:lang w:val="es-ES"/>
          <w14:ligatures w14:val="none"/>
        </w:rPr>
        <w:t>aún</w:t>
      </w:r>
      <w:r w:rsidR="003D0E69" w:rsidRPr="003D0E69">
        <w:rPr>
          <w:rFonts w:ascii="Calibri" w:eastAsia="MS Mincho" w:hAnsi="Calibri" w:cs="Times New Roman"/>
          <w:kern w:val="0"/>
          <w:sz w:val="24"/>
          <w:szCs w:val="24"/>
          <w:lang w:val="es-ES"/>
          <w14:ligatures w14:val="none"/>
        </w:rPr>
        <w:t xml:space="preserve"> no ha sido ejecutado</w:t>
      </w:r>
      <w:r w:rsidR="003D0E69">
        <w:rPr>
          <w:rFonts w:ascii="Calibri" w:eastAsia="MS Mincho" w:hAnsi="Calibri" w:cs="Times New Roman"/>
          <w:kern w:val="0"/>
          <w:sz w:val="24"/>
          <w:szCs w:val="24"/>
          <w:lang w:val="es-ES"/>
          <w14:ligatures w14:val="none"/>
        </w:rPr>
        <w:t>.</w:t>
      </w:r>
    </w:p>
    <w:p w14:paraId="48658C88" w14:textId="77777777" w:rsidR="008915B9" w:rsidRDefault="008915B9" w:rsidP="00CA1C22">
      <w:pPr>
        <w:pStyle w:val="NormalWeb"/>
        <w:spacing w:before="0" w:beforeAutospacing="0" w:after="150" w:afterAutospacing="0"/>
        <w:rPr>
          <w:rFonts w:ascii="Calibri" w:eastAsia="MS Mincho" w:hAnsi="Calibri"/>
          <w:lang w:val="es-ES"/>
        </w:rPr>
      </w:pPr>
      <w:bookmarkStart w:id="3" w:name="_Hlk130910786"/>
    </w:p>
    <w:p w14:paraId="03F922EB" w14:textId="0A6E66AC" w:rsidR="00792D0B" w:rsidRDefault="00792D0B" w:rsidP="756E8E9E">
      <w:pPr>
        <w:pStyle w:val="NormalWeb"/>
        <w:spacing w:before="0" w:beforeAutospacing="0" w:after="150" w:afterAutospacing="0"/>
        <w:rPr>
          <w:rFonts w:ascii="Calibri" w:eastAsia="MS Mincho" w:hAnsi="Calibri"/>
          <w:lang w:val="es-ES"/>
        </w:rPr>
      </w:pPr>
      <w:r>
        <w:rPr>
          <w:noProof/>
          <w:lang w:val="es-ES" w:eastAsia="es-ES"/>
        </w:rPr>
        <w:drawing>
          <wp:inline distT="0" distB="0" distL="0" distR="0" wp14:anchorId="367DA195" wp14:editId="74511AE5">
            <wp:extent cx="5612130" cy="1895475"/>
            <wp:effectExtent l="0" t="0" r="7620" b="9525"/>
            <wp:docPr id="1672386045"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73D4A8B-D962-26CB-DF79-6D1CAA30AD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00AE063B" w:rsidRPr="00AE063B">
        <w:rPr>
          <w:rFonts w:ascii="Calibri" w:eastAsia="MS Mincho" w:hAnsi="Calibri"/>
          <w:lang w:val="es-ES"/>
        </w:rPr>
        <w:t>Una apertura fue el punto GOB occidental Mall</w:t>
      </w:r>
    </w:p>
    <w:p w14:paraId="38859914" w14:textId="0EC01184" w:rsidR="756E8E9E" w:rsidRDefault="756E8E9E" w:rsidP="756E8E9E">
      <w:pPr>
        <w:spacing w:after="0" w:line="276" w:lineRule="auto"/>
        <w:ind w:right="57"/>
        <w:jc w:val="both"/>
        <w:rPr>
          <w:rFonts w:ascii="Calibri" w:eastAsia="MS Mincho" w:hAnsi="Calibri" w:cs="Times New Roman"/>
          <w:b/>
          <w:bCs/>
          <w:i/>
          <w:iCs/>
          <w:sz w:val="25"/>
          <w:szCs w:val="25"/>
          <w:u w:val="single"/>
          <w:lang w:val="es-ES"/>
        </w:rPr>
      </w:pPr>
    </w:p>
    <w:p w14:paraId="4AB82178" w14:textId="3019E3FF" w:rsidR="008915B9" w:rsidRPr="001D1C15" w:rsidRDefault="00B92405" w:rsidP="00B92405">
      <w:pPr>
        <w:suppressAutoHyphens/>
        <w:autoSpaceDN w:val="0"/>
        <w:spacing w:after="0" w:line="276" w:lineRule="auto"/>
        <w:ind w:right="57"/>
        <w:jc w:val="both"/>
        <w:rPr>
          <w:rFonts w:ascii="Calibri" w:eastAsia="MS Mincho" w:hAnsi="Calibri" w:cs="Times New Roman"/>
          <w:b/>
          <w:kern w:val="0"/>
          <w:sz w:val="25"/>
          <w:szCs w:val="25"/>
          <w:lang w:val="es-ES"/>
          <w14:ligatures w14:val="none"/>
        </w:rPr>
      </w:pPr>
      <w:r w:rsidRPr="00B92405">
        <w:rPr>
          <w:rFonts w:ascii="Calibri" w:eastAsia="MS Mincho" w:hAnsi="Calibri" w:cs="Times New Roman"/>
          <w:b/>
          <w:i/>
          <w:iCs/>
          <w:kern w:val="0"/>
          <w:sz w:val="25"/>
          <w:szCs w:val="25"/>
          <w:u w:val="single"/>
          <w:lang w:val="es-ES"/>
          <w14:ligatures w14:val="none"/>
        </w:rPr>
        <w:t>Área Responsable</w:t>
      </w:r>
      <w:r w:rsidRPr="00B92405">
        <w:rPr>
          <w:rFonts w:ascii="Calibri" w:eastAsia="MS Mincho" w:hAnsi="Calibri" w:cs="Times New Roman"/>
          <w:b/>
          <w:kern w:val="0"/>
          <w:sz w:val="25"/>
          <w:szCs w:val="25"/>
          <w:lang w:val="es-ES"/>
          <w14:ligatures w14:val="none"/>
        </w:rPr>
        <w:t xml:space="preserve">: Seguridad. </w:t>
      </w:r>
      <w:r w:rsidRPr="00B92405">
        <w:rPr>
          <w:rFonts w:ascii="Calibri" w:eastAsia="MS Mincho" w:hAnsi="Calibri" w:cs="Times New Roman"/>
          <w:b/>
          <w:i/>
          <w:iCs/>
          <w:kern w:val="0"/>
          <w:sz w:val="25"/>
          <w:szCs w:val="25"/>
          <w:u w:val="single"/>
          <w:lang w:val="es-ES"/>
          <w14:ligatures w14:val="none"/>
        </w:rPr>
        <w:t>áreas Involucradas</w:t>
      </w:r>
      <w:r w:rsidRPr="00B92405">
        <w:rPr>
          <w:rFonts w:ascii="Calibri" w:eastAsia="MS Mincho" w:hAnsi="Calibri" w:cs="Times New Roman"/>
          <w:b/>
          <w:kern w:val="0"/>
          <w:sz w:val="25"/>
          <w:szCs w:val="25"/>
          <w:lang w:val="es-ES"/>
          <w14:ligatures w14:val="none"/>
        </w:rPr>
        <w:t>: Administrativo, investigación.</w:t>
      </w:r>
    </w:p>
    <w:bookmarkEnd w:id="3"/>
    <w:p w14:paraId="37A73F33" w14:textId="0804AC03" w:rsidR="00B92405" w:rsidRPr="00B92405" w:rsidRDefault="003B54F2" w:rsidP="756E8E9E">
      <w:pPr>
        <w:suppressAutoHyphens/>
        <w:autoSpaceDN w:val="0"/>
        <w:spacing w:after="0" w:line="240" w:lineRule="auto"/>
        <w:jc w:val="both"/>
        <w:rPr>
          <w:rFonts w:ascii="Calibri" w:eastAsia="MS Mincho" w:hAnsi="Calibri" w:cs="Times New Roman"/>
          <w:kern w:val="0"/>
          <w:sz w:val="24"/>
          <w:szCs w:val="24"/>
          <w:lang w:val="es-ES"/>
          <w14:ligatures w14:val="none"/>
        </w:rPr>
      </w:pPr>
      <w:r>
        <w:rPr>
          <w:noProof/>
          <w:lang w:val="es-ES" w:eastAsia="es-ES"/>
        </w:rPr>
        <w:drawing>
          <wp:inline distT="0" distB="0" distL="0" distR="0" wp14:anchorId="36479D65" wp14:editId="4EC17CF0">
            <wp:extent cx="5612130" cy="2122714"/>
            <wp:effectExtent l="0" t="0" r="7620" b="11430"/>
            <wp:docPr id="1510218903"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A1A5C04-6D79-8E58-049A-C88AEED810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R="00B92405" w:rsidRPr="756E8E9E">
        <w:rPr>
          <w:rFonts w:ascii="Calibri" w:eastAsia="MS Mincho" w:hAnsi="Calibri" w:cs="Times New Roman"/>
          <w:kern w:val="0"/>
          <w:sz w:val="24"/>
          <w:szCs w:val="24"/>
          <w:lang w:val="es-ES"/>
          <w14:ligatures w14:val="none"/>
        </w:rPr>
        <w:t>Este producto</w:t>
      </w:r>
      <w:r w:rsidRPr="756E8E9E">
        <w:rPr>
          <w:rFonts w:ascii="Calibri" w:eastAsia="MS Mincho" w:hAnsi="Calibri" w:cs="Times New Roman"/>
          <w:kern w:val="0"/>
          <w:sz w:val="24"/>
          <w:szCs w:val="24"/>
          <w:lang w:val="es-ES"/>
          <w14:ligatures w14:val="none"/>
        </w:rPr>
        <w:t xml:space="preserve"> se cumplió en su totalidad.</w:t>
      </w:r>
    </w:p>
    <w:p w14:paraId="1A874AF2" w14:textId="5E13DFBC" w:rsidR="756E8E9E" w:rsidRDefault="756E8E9E" w:rsidP="756E8E9E">
      <w:pPr>
        <w:spacing w:after="0" w:line="240" w:lineRule="auto"/>
        <w:ind w:right="-1"/>
        <w:jc w:val="both"/>
        <w:rPr>
          <w:rFonts w:ascii="Calibri" w:eastAsia="MS Mincho" w:hAnsi="Calibri" w:cs="Times New Roman"/>
          <w:sz w:val="24"/>
          <w:szCs w:val="24"/>
          <w:lang w:val="es-ES"/>
        </w:rPr>
      </w:pPr>
    </w:p>
    <w:p w14:paraId="298E4D4C" w14:textId="0D208772" w:rsidR="008915B9" w:rsidRDefault="00B92405" w:rsidP="756E8E9E">
      <w:pPr>
        <w:suppressAutoHyphens/>
        <w:autoSpaceDN w:val="0"/>
        <w:spacing w:after="0" w:line="276" w:lineRule="auto"/>
        <w:ind w:right="57"/>
        <w:jc w:val="both"/>
        <w:rPr>
          <w:rFonts w:ascii="Calibri" w:eastAsia="MS Mincho" w:hAnsi="Calibri" w:cs="Times New Roman"/>
          <w:sz w:val="24"/>
          <w:szCs w:val="24"/>
          <w:lang w:val="es-ES"/>
        </w:rPr>
      </w:pPr>
      <w:r w:rsidRPr="756E8E9E">
        <w:rPr>
          <w:rFonts w:ascii="Calibri" w:eastAsia="MS Mincho" w:hAnsi="Calibri" w:cs="Times New Roman"/>
          <w:b/>
          <w:bCs/>
          <w:i/>
          <w:iCs/>
          <w:kern w:val="0"/>
          <w:sz w:val="25"/>
          <w:szCs w:val="25"/>
          <w:u w:val="single"/>
          <w:lang w:val="es-ES"/>
          <w14:ligatures w14:val="none"/>
        </w:rPr>
        <w:t>Área Responsable</w:t>
      </w:r>
      <w:r w:rsidRPr="756E8E9E">
        <w:rPr>
          <w:rFonts w:ascii="Calibri" w:eastAsia="MS Mincho" w:hAnsi="Calibri" w:cs="Times New Roman"/>
          <w:b/>
          <w:bCs/>
          <w:kern w:val="0"/>
          <w:sz w:val="25"/>
          <w:szCs w:val="25"/>
          <w:lang w:val="es-ES"/>
          <w14:ligatures w14:val="none"/>
        </w:rPr>
        <w:t xml:space="preserve">: Financiero. </w:t>
      </w:r>
      <w:r w:rsidRPr="756E8E9E">
        <w:rPr>
          <w:rFonts w:ascii="Calibri" w:eastAsia="MS Mincho" w:hAnsi="Calibri" w:cs="Times New Roman"/>
          <w:b/>
          <w:bCs/>
          <w:i/>
          <w:iCs/>
          <w:kern w:val="0"/>
          <w:sz w:val="25"/>
          <w:szCs w:val="25"/>
          <w:u w:val="single"/>
          <w:lang w:val="es-ES"/>
          <w14:ligatures w14:val="none"/>
        </w:rPr>
        <w:t>áreas Involucradas</w:t>
      </w:r>
      <w:r w:rsidRPr="756E8E9E">
        <w:rPr>
          <w:rFonts w:ascii="Calibri" w:eastAsia="MS Mincho" w:hAnsi="Calibri" w:cs="Times New Roman"/>
          <w:b/>
          <w:bCs/>
          <w:kern w:val="0"/>
          <w:sz w:val="25"/>
          <w:szCs w:val="25"/>
          <w:lang w:val="es-ES"/>
          <w14:ligatures w14:val="none"/>
        </w:rPr>
        <w:t>: MAE, Dirección Administrativa y Financiera, Contabilidad, tesorería e ingresos</w:t>
      </w:r>
      <w:r w:rsidR="1C550564" w:rsidRPr="756E8E9E">
        <w:rPr>
          <w:rFonts w:ascii="Calibri" w:eastAsia="MS Mincho" w:hAnsi="Calibri" w:cs="Times New Roman"/>
          <w:b/>
          <w:bCs/>
          <w:kern w:val="0"/>
          <w:sz w:val="25"/>
          <w:szCs w:val="25"/>
          <w:lang w:val="es-ES"/>
          <w14:ligatures w14:val="none"/>
        </w:rPr>
        <w:t>.</w:t>
      </w:r>
      <w:r w:rsidR="007D7AD6" w:rsidRPr="756E8E9E">
        <w:rPr>
          <w:rFonts w:ascii="Calibri" w:eastAsia="MS Mincho" w:hAnsi="Calibri" w:cs="Times New Roman"/>
          <w:kern w:val="0"/>
          <w:sz w:val="24"/>
          <w:szCs w:val="24"/>
          <w:lang w:val="es-ES"/>
          <w14:ligatures w14:val="none"/>
        </w:rPr>
        <w:t xml:space="preserve"> </w:t>
      </w:r>
    </w:p>
    <w:p w14:paraId="270B77A3" w14:textId="1946B970" w:rsidR="756E8E9E" w:rsidRDefault="756E8E9E" w:rsidP="756E8E9E">
      <w:pPr>
        <w:spacing w:after="0" w:line="276" w:lineRule="auto"/>
        <w:ind w:right="57"/>
        <w:jc w:val="both"/>
        <w:rPr>
          <w:rFonts w:ascii="Calibri" w:eastAsia="MS Mincho" w:hAnsi="Calibri" w:cs="Times New Roman"/>
          <w:sz w:val="24"/>
          <w:szCs w:val="24"/>
          <w:lang w:val="es-ES"/>
        </w:rPr>
      </w:pPr>
    </w:p>
    <w:p w14:paraId="1E0248E8" w14:textId="02BB5CCD" w:rsidR="00B92405" w:rsidRPr="00B92405" w:rsidRDefault="007D7AD6" w:rsidP="756E8E9E">
      <w:pPr>
        <w:suppressAutoHyphens/>
        <w:autoSpaceDN w:val="0"/>
        <w:spacing w:after="0" w:line="276" w:lineRule="auto"/>
        <w:ind w:left="57" w:right="57"/>
        <w:rPr>
          <w:rFonts w:ascii="Calibri" w:eastAsia="MS Mincho" w:hAnsi="Calibri" w:cs="Times New Roman"/>
          <w:kern w:val="0"/>
          <w:sz w:val="24"/>
          <w:szCs w:val="24"/>
          <w:lang w:val="es-ES"/>
          <w14:ligatures w14:val="none"/>
        </w:rPr>
      </w:pPr>
      <w:r>
        <w:rPr>
          <w:noProof/>
          <w:lang w:val="es-ES" w:eastAsia="es-ES"/>
        </w:rPr>
        <w:drawing>
          <wp:inline distT="0" distB="0" distL="0" distR="0" wp14:anchorId="68E3D7DF" wp14:editId="01228F91">
            <wp:extent cx="5612130" cy="2245360"/>
            <wp:effectExtent l="0" t="0" r="7620" b="2540"/>
            <wp:docPr id="1094731156"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7D8F6F8-8B99-491A-9E49-29322FCE2B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Pr="756E8E9E">
        <w:rPr>
          <w:rFonts w:ascii="Calibri" w:eastAsia="MS Mincho" w:hAnsi="Calibri" w:cs="Times New Roman"/>
          <w:kern w:val="0"/>
          <w:sz w:val="24"/>
          <w:szCs w:val="24"/>
          <w:lang w:val="es-ES"/>
          <w14:ligatures w14:val="none"/>
        </w:rPr>
        <w:t>Este producto se cumplió en su totalidad.</w:t>
      </w:r>
    </w:p>
    <w:p w14:paraId="68607A57" w14:textId="77777777" w:rsidR="00B92405" w:rsidRPr="00B92405" w:rsidRDefault="00B92405" w:rsidP="00B92405">
      <w:pPr>
        <w:suppressAutoHyphens/>
        <w:autoSpaceDN w:val="0"/>
        <w:spacing w:after="0" w:line="276" w:lineRule="auto"/>
        <w:ind w:right="57"/>
        <w:jc w:val="both"/>
        <w:rPr>
          <w:rFonts w:ascii="Calibri" w:eastAsia="MS Mincho" w:hAnsi="Calibri" w:cs="Times New Roman"/>
          <w:b/>
          <w:bCs/>
          <w:color w:val="082A75"/>
          <w:kern w:val="0"/>
          <w:sz w:val="24"/>
          <w:lang w:val="es-ES"/>
          <w14:ligatures w14:val="none"/>
        </w:rPr>
      </w:pPr>
    </w:p>
    <w:p w14:paraId="58B3A381" w14:textId="5E554530" w:rsidR="00B92405" w:rsidRPr="00B92405" w:rsidRDefault="007D7AD6" w:rsidP="756E8E9E">
      <w:pPr>
        <w:suppressAutoHyphens/>
        <w:autoSpaceDN w:val="0"/>
        <w:spacing w:after="0" w:line="276" w:lineRule="auto"/>
        <w:ind w:left="57" w:right="57"/>
        <w:rPr>
          <w:rFonts w:ascii="Calibri" w:eastAsia="MS Mincho" w:hAnsi="Calibri" w:cs="Times New Roman"/>
          <w:kern w:val="0"/>
          <w:sz w:val="24"/>
          <w:szCs w:val="24"/>
          <w:lang w:val="es-ES"/>
          <w14:ligatures w14:val="none"/>
        </w:rPr>
      </w:pPr>
      <w:r>
        <w:rPr>
          <w:noProof/>
          <w:lang w:val="es-ES" w:eastAsia="es-ES"/>
        </w:rPr>
        <w:drawing>
          <wp:inline distT="0" distB="0" distL="0" distR="0" wp14:anchorId="084C1A42" wp14:editId="2E29684A">
            <wp:extent cx="5610225" cy="2252663"/>
            <wp:effectExtent l="0" t="0" r="9525" b="14605"/>
            <wp:docPr id="373026925"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CB97E13-CB57-41CF-B528-813096BC14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sidRPr="756E8E9E">
        <w:rPr>
          <w:rFonts w:ascii="Calibri" w:eastAsia="MS Mincho" w:hAnsi="Calibri" w:cs="Times New Roman"/>
          <w:kern w:val="0"/>
          <w:sz w:val="24"/>
          <w:szCs w:val="24"/>
          <w:lang w:val="es-ES"/>
          <w14:ligatures w14:val="none"/>
        </w:rPr>
        <w:t>Este producto se cumplió en su totalidad.</w:t>
      </w:r>
    </w:p>
    <w:p w14:paraId="0568F6A8" w14:textId="77777777" w:rsidR="00B92405" w:rsidRPr="00B92405" w:rsidRDefault="00B92405" w:rsidP="00B92405">
      <w:pPr>
        <w:suppressAutoHyphens/>
        <w:autoSpaceDN w:val="0"/>
        <w:spacing w:after="0" w:line="276" w:lineRule="auto"/>
        <w:ind w:left="57" w:right="57"/>
        <w:jc w:val="both"/>
        <w:rPr>
          <w:rFonts w:ascii="Calibri" w:eastAsia="MS Mincho" w:hAnsi="Calibri" w:cs="Times New Roman"/>
          <w:color w:val="082A75"/>
          <w:kern w:val="0"/>
          <w:sz w:val="24"/>
          <w:lang w:val="es-ES"/>
          <w14:ligatures w14:val="none"/>
        </w:rPr>
      </w:pPr>
    </w:p>
    <w:p w14:paraId="7E9460AE" w14:textId="232D9E7B" w:rsidR="00B92405" w:rsidRPr="00B92405" w:rsidRDefault="007D7AD6" w:rsidP="756E8E9E">
      <w:pPr>
        <w:suppressAutoHyphens/>
        <w:autoSpaceDN w:val="0"/>
        <w:spacing w:after="0" w:line="276" w:lineRule="auto"/>
        <w:ind w:left="57" w:right="57"/>
        <w:rPr>
          <w:rFonts w:ascii="Calibri" w:eastAsia="MS Mincho" w:hAnsi="Calibri" w:cs="Times New Roman"/>
          <w:kern w:val="0"/>
          <w:sz w:val="24"/>
          <w:szCs w:val="24"/>
          <w:lang w:val="es-ES"/>
          <w14:ligatures w14:val="none"/>
        </w:rPr>
      </w:pPr>
      <w:r>
        <w:rPr>
          <w:noProof/>
          <w:lang w:val="es-ES" w:eastAsia="es-ES"/>
        </w:rPr>
        <w:drawing>
          <wp:inline distT="0" distB="0" distL="0" distR="0" wp14:anchorId="28258CE2" wp14:editId="1774CF8C">
            <wp:extent cx="5612130" cy="1992086"/>
            <wp:effectExtent l="0" t="0" r="7620" b="8255"/>
            <wp:docPr id="1993346607"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E4E9FCB-0E30-4115-A79A-6EB17E1B39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Pr="756E8E9E">
        <w:rPr>
          <w:rFonts w:ascii="Calibri" w:eastAsia="MS Mincho" w:hAnsi="Calibri" w:cs="Times New Roman"/>
          <w:kern w:val="0"/>
          <w:sz w:val="24"/>
          <w:szCs w:val="24"/>
          <w:lang w:val="es-ES"/>
          <w14:ligatures w14:val="none"/>
        </w:rPr>
        <w:t>Este producto se cumplió en su totalidad.</w:t>
      </w:r>
    </w:p>
    <w:p w14:paraId="384F19E4" w14:textId="77777777" w:rsidR="00D55D2C" w:rsidRDefault="00D55D2C" w:rsidP="00B92405">
      <w:pPr>
        <w:suppressAutoHyphens/>
        <w:autoSpaceDN w:val="0"/>
        <w:spacing w:after="0" w:line="276" w:lineRule="auto"/>
        <w:ind w:left="57" w:right="57"/>
        <w:jc w:val="center"/>
        <w:rPr>
          <w:rFonts w:ascii="Calibri" w:eastAsia="MS Mincho" w:hAnsi="Calibri" w:cs="Times New Roman"/>
          <w:b/>
          <w:color w:val="082A75"/>
          <w:kern w:val="0"/>
          <w:sz w:val="28"/>
          <w:lang w:val="es-ES"/>
          <w14:ligatures w14:val="none"/>
        </w:rPr>
      </w:pPr>
    </w:p>
    <w:p w14:paraId="1D4DE4BB" w14:textId="5248F92D" w:rsidR="00B92405" w:rsidRPr="00B92405" w:rsidRDefault="007D7AD6" w:rsidP="756E8E9E">
      <w:pPr>
        <w:suppressAutoHyphens/>
        <w:autoSpaceDN w:val="0"/>
        <w:spacing w:after="0" w:line="276" w:lineRule="auto"/>
        <w:ind w:left="57" w:right="57"/>
        <w:rPr>
          <w:rFonts w:ascii="Calibri" w:eastAsia="MS Mincho" w:hAnsi="Calibri" w:cs="Times New Roman"/>
          <w:kern w:val="0"/>
          <w:sz w:val="24"/>
          <w:szCs w:val="24"/>
          <w:lang w:val="es-ES"/>
          <w14:ligatures w14:val="none"/>
        </w:rPr>
      </w:pPr>
      <w:r>
        <w:rPr>
          <w:noProof/>
          <w:lang w:val="es-ES" w:eastAsia="es-ES"/>
        </w:rPr>
        <w:drawing>
          <wp:inline distT="0" distB="0" distL="0" distR="0" wp14:anchorId="548C1068" wp14:editId="314286EC">
            <wp:extent cx="5612130" cy="2090420"/>
            <wp:effectExtent l="0" t="0" r="7620" b="5080"/>
            <wp:docPr id="1112337053"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1E24D15-65BD-4406-AC14-20B706C447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Pr="756E8E9E">
        <w:rPr>
          <w:rFonts w:ascii="Calibri" w:eastAsia="MS Mincho" w:hAnsi="Calibri" w:cs="Times New Roman"/>
          <w:kern w:val="0"/>
          <w:sz w:val="24"/>
          <w:szCs w:val="24"/>
          <w:lang w:val="es-ES"/>
          <w14:ligatures w14:val="none"/>
        </w:rPr>
        <w:t>Este producto se cumplió en su totalidad.</w:t>
      </w:r>
    </w:p>
    <w:p w14:paraId="79D80FED" w14:textId="77777777" w:rsidR="009A6DD0" w:rsidRPr="00B92405" w:rsidRDefault="009A6DD0" w:rsidP="00B92405">
      <w:pPr>
        <w:tabs>
          <w:tab w:val="left" w:pos="7335"/>
        </w:tabs>
        <w:suppressAutoHyphens/>
        <w:autoSpaceDN w:val="0"/>
        <w:spacing w:after="0" w:line="240" w:lineRule="auto"/>
        <w:jc w:val="both"/>
        <w:rPr>
          <w:rFonts w:ascii="Calibri" w:eastAsia="MS Mincho" w:hAnsi="Calibri" w:cs="Times New Roman"/>
          <w:kern w:val="0"/>
          <w:sz w:val="24"/>
          <w:lang w:val="es-ES"/>
          <w14:ligatures w14:val="none"/>
        </w:rPr>
      </w:pPr>
    </w:p>
    <w:p w14:paraId="20288C0A" w14:textId="124F2404" w:rsidR="008915B9" w:rsidRDefault="007D7AD6" w:rsidP="756E8E9E">
      <w:pPr>
        <w:suppressAutoHyphens/>
        <w:autoSpaceDN w:val="0"/>
        <w:spacing w:after="0" w:line="276" w:lineRule="auto"/>
        <w:ind w:right="57"/>
        <w:jc w:val="both"/>
        <w:rPr>
          <w:rFonts w:ascii="Calibri" w:eastAsia="MS Mincho" w:hAnsi="Calibri" w:cs="Times New Roman"/>
          <w:kern w:val="0"/>
          <w:sz w:val="24"/>
          <w:szCs w:val="24"/>
          <w:lang w:val="es-ES"/>
          <w14:ligatures w14:val="none"/>
        </w:rPr>
      </w:pPr>
      <w:r>
        <w:rPr>
          <w:noProof/>
          <w:lang w:val="es-ES" w:eastAsia="es-ES"/>
        </w:rPr>
        <w:lastRenderedPageBreak/>
        <w:drawing>
          <wp:inline distT="0" distB="0" distL="0" distR="0" wp14:anchorId="01257A2F" wp14:editId="22BFBC1C">
            <wp:extent cx="5609590" cy="1992086"/>
            <wp:effectExtent l="0" t="0" r="10160" b="8255"/>
            <wp:docPr id="700048240"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487CD4A-19D5-BC0B-7F19-37FD47BD8A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Pr="756E8E9E">
        <w:rPr>
          <w:rFonts w:ascii="Calibri" w:eastAsia="MS Mincho" w:hAnsi="Calibri" w:cs="Times New Roman"/>
          <w:kern w:val="0"/>
          <w:sz w:val="24"/>
          <w:szCs w:val="24"/>
          <w:lang w:val="es-ES"/>
          <w14:ligatures w14:val="none"/>
        </w:rPr>
        <w:t>Este producto se cumplió en su totalidad.</w:t>
      </w:r>
    </w:p>
    <w:p w14:paraId="3169D997" w14:textId="77777777" w:rsidR="007D7AD6" w:rsidRDefault="007D7AD6" w:rsidP="00B92405">
      <w:pPr>
        <w:suppressAutoHyphens/>
        <w:autoSpaceDN w:val="0"/>
        <w:spacing w:after="0" w:line="276" w:lineRule="auto"/>
        <w:ind w:right="57"/>
        <w:jc w:val="both"/>
        <w:rPr>
          <w:rFonts w:ascii="Calibri" w:eastAsia="MS Mincho" w:hAnsi="Calibri" w:cs="Times New Roman"/>
          <w:b/>
          <w:i/>
          <w:iCs/>
          <w:kern w:val="0"/>
          <w:sz w:val="25"/>
          <w:szCs w:val="25"/>
          <w:u w:val="single"/>
          <w:lang w:val="es-ES"/>
          <w14:ligatures w14:val="none"/>
        </w:rPr>
      </w:pPr>
    </w:p>
    <w:p w14:paraId="1A9E325E" w14:textId="0D0C8779" w:rsidR="00B92405" w:rsidRPr="00B92405" w:rsidRDefault="00B92405" w:rsidP="00B92405">
      <w:pPr>
        <w:suppressAutoHyphens/>
        <w:autoSpaceDN w:val="0"/>
        <w:spacing w:after="0" w:line="276" w:lineRule="auto"/>
        <w:ind w:right="57"/>
        <w:jc w:val="both"/>
        <w:rPr>
          <w:rFonts w:ascii="Calibri" w:eastAsia="MS Mincho" w:hAnsi="Calibri" w:cs="Times New Roman"/>
          <w:b/>
          <w:kern w:val="0"/>
          <w:sz w:val="25"/>
          <w:szCs w:val="25"/>
          <w:lang w:val="es-ES"/>
          <w14:ligatures w14:val="none"/>
        </w:rPr>
      </w:pPr>
      <w:r w:rsidRPr="00B92405">
        <w:rPr>
          <w:rFonts w:ascii="Calibri" w:eastAsia="MS Mincho" w:hAnsi="Calibri" w:cs="Times New Roman"/>
          <w:b/>
          <w:i/>
          <w:iCs/>
          <w:kern w:val="0"/>
          <w:sz w:val="25"/>
          <w:szCs w:val="25"/>
          <w:u w:val="single"/>
          <w:lang w:val="es-ES"/>
          <w14:ligatures w14:val="none"/>
        </w:rPr>
        <w:t>Área Responsable</w:t>
      </w:r>
      <w:r w:rsidRPr="00B92405">
        <w:rPr>
          <w:rFonts w:ascii="Calibri" w:eastAsia="MS Mincho" w:hAnsi="Calibri" w:cs="Times New Roman"/>
          <w:b/>
          <w:kern w:val="0"/>
          <w:sz w:val="25"/>
          <w:szCs w:val="25"/>
          <w:lang w:val="es-ES"/>
          <w14:ligatures w14:val="none"/>
        </w:rPr>
        <w:t xml:space="preserve">: Tecnología. </w:t>
      </w:r>
      <w:r w:rsidRPr="00B92405">
        <w:rPr>
          <w:rFonts w:ascii="Calibri" w:eastAsia="MS Mincho" w:hAnsi="Calibri" w:cs="Times New Roman"/>
          <w:b/>
          <w:i/>
          <w:iCs/>
          <w:kern w:val="0"/>
          <w:sz w:val="25"/>
          <w:szCs w:val="25"/>
          <w:u w:val="single"/>
          <w:lang w:val="es-ES"/>
          <w14:ligatures w14:val="none"/>
        </w:rPr>
        <w:t>áreas Involucradas</w:t>
      </w:r>
      <w:r w:rsidRPr="00B92405">
        <w:rPr>
          <w:rFonts w:ascii="Calibri" w:eastAsia="MS Mincho" w:hAnsi="Calibri" w:cs="Times New Roman"/>
          <w:b/>
          <w:kern w:val="0"/>
          <w:sz w:val="25"/>
          <w:szCs w:val="25"/>
          <w:lang w:val="es-ES"/>
          <w14:ligatures w14:val="none"/>
        </w:rPr>
        <w:t>: MAE, Operaciones TI, Seguridad y Monitoreo TI, Administración de Servicio TI, Administrativo.</w:t>
      </w:r>
    </w:p>
    <w:p w14:paraId="41FEFAE4" w14:textId="77777777" w:rsidR="00B92405" w:rsidRPr="00B92405" w:rsidRDefault="00B92405" w:rsidP="00B92405">
      <w:pPr>
        <w:suppressAutoHyphens/>
        <w:autoSpaceDN w:val="0"/>
        <w:spacing w:after="0" w:line="276" w:lineRule="auto"/>
        <w:ind w:right="57"/>
        <w:jc w:val="both"/>
        <w:rPr>
          <w:rFonts w:ascii="Calibri" w:eastAsia="MS Mincho" w:hAnsi="Calibri" w:cs="Times New Roman"/>
          <w:b/>
          <w:kern w:val="0"/>
          <w:sz w:val="25"/>
          <w:szCs w:val="25"/>
          <w:lang w:val="es-ES"/>
          <w14:ligatures w14:val="none"/>
        </w:rPr>
      </w:pPr>
    </w:p>
    <w:p w14:paraId="56FF758F" w14:textId="6A03C166" w:rsidR="00B92405" w:rsidRPr="00B92405" w:rsidRDefault="005C7FA3" w:rsidP="756E8E9E">
      <w:pPr>
        <w:suppressAutoHyphens/>
        <w:autoSpaceDN w:val="0"/>
        <w:spacing w:after="0" w:line="276" w:lineRule="auto"/>
        <w:ind w:right="57"/>
        <w:rPr>
          <w:rFonts w:ascii="Calibri" w:eastAsia="MS Mincho" w:hAnsi="Calibri" w:cs="Times New Roman"/>
          <w:kern w:val="0"/>
          <w:sz w:val="24"/>
          <w:szCs w:val="24"/>
          <w:lang w:val="es-ES"/>
          <w14:ligatures w14:val="none"/>
        </w:rPr>
      </w:pPr>
      <w:r>
        <w:rPr>
          <w:noProof/>
          <w:lang w:val="es-ES" w:eastAsia="es-ES"/>
        </w:rPr>
        <w:drawing>
          <wp:inline distT="0" distB="0" distL="0" distR="0" wp14:anchorId="2D1F656F" wp14:editId="3077B569">
            <wp:extent cx="5612130" cy="1970315"/>
            <wp:effectExtent l="0" t="0" r="7620" b="11430"/>
            <wp:docPr id="542756821"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68AF2FD-CE6C-4C3B-96A3-FD31C35A7E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bookmarkStart w:id="4" w:name="_Hlk186098460"/>
      <w:bookmarkStart w:id="5" w:name="_Hlk131423451"/>
      <w:r w:rsidR="00F738DE">
        <w:rPr>
          <w:rFonts w:ascii="Calibri" w:eastAsia="MS Mincho" w:hAnsi="Calibri" w:cs="Times New Roman"/>
          <w:kern w:val="0"/>
          <w:sz w:val="24"/>
          <w:szCs w:val="24"/>
          <w:lang w:val="es-ES"/>
          <w14:ligatures w14:val="none"/>
        </w:rPr>
        <w:t xml:space="preserve">Este producto, se cumplió en la totalidad. </w:t>
      </w:r>
    </w:p>
    <w:bookmarkEnd w:id="4"/>
    <w:p w14:paraId="41339283" w14:textId="77777777" w:rsidR="00D55D2C" w:rsidRDefault="00D55D2C" w:rsidP="00B92405">
      <w:pPr>
        <w:autoSpaceDN w:val="0"/>
        <w:spacing w:after="0" w:line="240" w:lineRule="auto"/>
        <w:ind w:right="57"/>
        <w:jc w:val="both"/>
        <w:rPr>
          <w:rFonts w:ascii="Calibri" w:eastAsia="MS Mincho" w:hAnsi="Calibri" w:cs="Times New Roman"/>
          <w:kern w:val="0"/>
          <w:sz w:val="24"/>
          <w:lang w:val="es-ES"/>
          <w14:ligatures w14:val="none"/>
        </w:rPr>
      </w:pPr>
    </w:p>
    <w:p w14:paraId="14BE7D8C" w14:textId="292B6705" w:rsidR="00D82265" w:rsidRPr="00B92405" w:rsidRDefault="00283820" w:rsidP="00B92405">
      <w:pPr>
        <w:autoSpaceDN w:val="0"/>
        <w:spacing w:after="0" w:line="240" w:lineRule="auto"/>
        <w:ind w:right="57"/>
        <w:jc w:val="both"/>
        <w:rPr>
          <w:rFonts w:ascii="Calibri" w:eastAsia="MS Mincho" w:hAnsi="Calibri" w:cs="Times New Roman"/>
          <w:kern w:val="0"/>
          <w:sz w:val="24"/>
          <w:szCs w:val="24"/>
          <w:lang w:val="es-ES"/>
          <w14:ligatures w14:val="none"/>
        </w:rPr>
      </w:pPr>
      <w:r>
        <w:rPr>
          <w:noProof/>
          <w:lang w:val="es-ES" w:eastAsia="es-ES"/>
        </w:rPr>
        <w:drawing>
          <wp:inline distT="0" distB="0" distL="0" distR="0" wp14:anchorId="011BEB7C" wp14:editId="01D30F60">
            <wp:extent cx="5612130" cy="2231572"/>
            <wp:effectExtent l="0" t="0" r="7620" b="16510"/>
            <wp:docPr id="1772782622"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261FAEC-A724-4135-B070-5B95A7987D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bookmarkStart w:id="6" w:name="_Hlk186098873"/>
      <w:bookmarkEnd w:id="5"/>
      <w:r>
        <w:rPr>
          <w:rFonts w:ascii="Calibri" w:eastAsia="MS Mincho" w:hAnsi="Calibri" w:cs="Times New Roman"/>
          <w:kern w:val="0"/>
          <w:sz w:val="24"/>
          <w:szCs w:val="24"/>
          <w:lang w:val="es-ES"/>
          <w14:ligatures w14:val="none"/>
        </w:rPr>
        <w:t>La solicitud de este producto aún está en compra.</w:t>
      </w:r>
    </w:p>
    <w:bookmarkEnd w:id="6"/>
    <w:p w14:paraId="55054A09" w14:textId="77777777" w:rsidR="00D82265" w:rsidRDefault="00D82265" w:rsidP="00D82265">
      <w:pPr>
        <w:autoSpaceDN w:val="0"/>
        <w:spacing w:after="0" w:line="240" w:lineRule="auto"/>
        <w:ind w:right="57"/>
        <w:jc w:val="both"/>
        <w:rPr>
          <w:rFonts w:ascii="Calibri" w:eastAsia="MS Mincho" w:hAnsi="Calibri" w:cs="Times New Roman"/>
          <w:kern w:val="0"/>
          <w:sz w:val="24"/>
          <w:lang w:val="es-ES"/>
          <w14:ligatures w14:val="none"/>
        </w:rPr>
      </w:pPr>
    </w:p>
    <w:p w14:paraId="3A388272" w14:textId="3FA5C86A" w:rsidR="00D82265" w:rsidRDefault="00283820" w:rsidP="00D82265">
      <w:pPr>
        <w:autoSpaceDN w:val="0"/>
        <w:spacing w:after="0" w:line="240" w:lineRule="auto"/>
        <w:ind w:right="57"/>
        <w:jc w:val="both"/>
        <w:rPr>
          <w:rFonts w:ascii="Calibri" w:eastAsia="MS Mincho" w:hAnsi="Calibri" w:cs="Times New Roman"/>
          <w:kern w:val="0"/>
          <w:sz w:val="24"/>
          <w:szCs w:val="24"/>
          <w:lang w:val="es-ES"/>
          <w14:ligatures w14:val="none"/>
        </w:rPr>
      </w:pPr>
      <w:r>
        <w:rPr>
          <w:noProof/>
          <w:lang w:val="es-ES" w:eastAsia="es-ES"/>
        </w:rPr>
        <w:lastRenderedPageBreak/>
        <w:drawing>
          <wp:inline distT="0" distB="0" distL="0" distR="0" wp14:anchorId="56066F6F" wp14:editId="0879232A">
            <wp:extent cx="5612130" cy="1981200"/>
            <wp:effectExtent l="0" t="0" r="7620" b="0"/>
            <wp:docPr id="1167663427"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90111F3-154D-4978-A1AC-B193AE25BA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Pr>
          <w:rFonts w:ascii="Calibri" w:eastAsia="MS Mincho" w:hAnsi="Calibri" w:cs="Times New Roman"/>
          <w:kern w:val="0"/>
          <w:sz w:val="24"/>
          <w:szCs w:val="24"/>
          <w:lang w:val="es-ES"/>
          <w14:ligatures w14:val="none"/>
        </w:rPr>
        <w:t xml:space="preserve">Este producto, se cumplió en la totalidad. </w:t>
      </w:r>
    </w:p>
    <w:p w14:paraId="04FAF46E" w14:textId="77777777" w:rsidR="008915B9" w:rsidRDefault="008915B9" w:rsidP="00B92405">
      <w:pPr>
        <w:suppressAutoHyphens/>
        <w:autoSpaceDN w:val="0"/>
        <w:spacing w:after="0" w:line="276" w:lineRule="auto"/>
        <w:ind w:right="57"/>
        <w:jc w:val="both"/>
        <w:rPr>
          <w:rFonts w:ascii="Calibri" w:eastAsia="MS Mincho" w:hAnsi="Calibri" w:cs="Times New Roman"/>
          <w:kern w:val="0"/>
          <w:sz w:val="24"/>
          <w:lang w:val="es-ES"/>
          <w14:ligatures w14:val="none"/>
        </w:rPr>
      </w:pPr>
    </w:p>
    <w:p w14:paraId="1A9AE851" w14:textId="2A2267F5" w:rsidR="00B92405" w:rsidRDefault="005C7FA3" w:rsidP="756E8E9E">
      <w:pPr>
        <w:suppressAutoHyphens/>
        <w:autoSpaceDN w:val="0"/>
        <w:spacing w:after="0" w:line="276" w:lineRule="auto"/>
        <w:ind w:right="57"/>
        <w:jc w:val="both"/>
        <w:rPr>
          <w:rFonts w:ascii="Calibri" w:eastAsia="MS Mincho" w:hAnsi="Calibri" w:cs="Times New Roman"/>
          <w:kern w:val="0"/>
          <w:sz w:val="24"/>
          <w:szCs w:val="24"/>
          <w:lang w:val="es-ES"/>
          <w14:ligatures w14:val="none"/>
        </w:rPr>
      </w:pPr>
      <w:r>
        <w:rPr>
          <w:noProof/>
          <w:lang w:val="es-ES" w:eastAsia="es-ES"/>
        </w:rPr>
        <w:drawing>
          <wp:inline distT="0" distB="0" distL="0" distR="0" wp14:anchorId="75EA5744" wp14:editId="0AE0CFC4">
            <wp:extent cx="5612130" cy="2124075"/>
            <wp:effectExtent l="0" t="0" r="7620" b="9525"/>
            <wp:docPr id="1546470576"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6796B55-63C3-F83B-4FC9-EAAA4EBC0F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rsidR="00F738DE">
        <w:rPr>
          <w:rFonts w:ascii="Calibri" w:eastAsia="MS Mincho" w:hAnsi="Calibri" w:cs="Times New Roman"/>
          <w:kern w:val="0"/>
          <w:sz w:val="24"/>
          <w:szCs w:val="24"/>
          <w:lang w:val="es-ES"/>
          <w14:ligatures w14:val="none"/>
        </w:rPr>
        <w:t>Este producto, se cumplió en la totalidad.</w:t>
      </w:r>
    </w:p>
    <w:p w14:paraId="7BDB95D8" w14:textId="77777777" w:rsidR="00D55D2C" w:rsidRDefault="00D55D2C" w:rsidP="004A7238">
      <w:pPr>
        <w:suppressAutoHyphens/>
        <w:autoSpaceDN w:val="0"/>
        <w:spacing w:after="0" w:line="276" w:lineRule="auto"/>
        <w:ind w:right="57"/>
        <w:jc w:val="both"/>
        <w:rPr>
          <w:rFonts w:ascii="Calibri" w:eastAsia="MS Mincho" w:hAnsi="Calibri" w:cs="Times New Roman"/>
          <w:b/>
          <w:kern w:val="0"/>
          <w:sz w:val="25"/>
          <w:szCs w:val="25"/>
          <w:lang w:val="es-ES"/>
          <w14:ligatures w14:val="none"/>
        </w:rPr>
      </w:pPr>
    </w:p>
    <w:p w14:paraId="665137EB" w14:textId="43CF1EC0" w:rsidR="00B92405" w:rsidRPr="00B92405" w:rsidRDefault="004225D9" w:rsidP="004A7238">
      <w:pPr>
        <w:suppressAutoHyphens/>
        <w:autoSpaceDN w:val="0"/>
        <w:spacing w:after="0" w:line="276" w:lineRule="auto"/>
        <w:ind w:right="57"/>
        <w:jc w:val="both"/>
        <w:rPr>
          <w:rFonts w:ascii="Calibri" w:eastAsia="MS Mincho" w:hAnsi="Calibri" w:cs="Times New Roman"/>
          <w:kern w:val="0"/>
          <w:sz w:val="24"/>
          <w:szCs w:val="24"/>
          <w:lang w:val="es-ES"/>
          <w14:ligatures w14:val="none"/>
        </w:rPr>
      </w:pPr>
      <w:r>
        <w:rPr>
          <w:noProof/>
          <w:lang w:val="es-ES" w:eastAsia="es-ES"/>
        </w:rPr>
        <w:drawing>
          <wp:inline distT="0" distB="0" distL="0" distR="0" wp14:anchorId="5B7D9597" wp14:editId="443D9DF0">
            <wp:extent cx="5612130" cy="1926772"/>
            <wp:effectExtent l="0" t="0" r="7620" b="16510"/>
            <wp:docPr id="1401436019"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27892CF-5437-CA2F-E9FF-E7D2AB1DE0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r w:rsidR="00B92405" w:rsidRPr="756E8E9E">
        <w:rPr>
          <w:rFonts w:ascii="Calibri" w:eastAsia="MS Mincho" w:hAnsi="Calibri" w:cs="Times New Roman"/>
          <w:kern w:val="0"/>
          <w:sz w:val="24"/>
          <w:szCs w:val="24"/>
          <w:lang w:val="es-ES"/>
          <w14:ligatures w14:val="none"/>
        </w:rPr>
        <w:t xml:space="preserve">La </w:t>
      </w:r>
      <w:r w:rsidR="005C7FA3" w:rsidRPr="756E8E9E">
        <w:rPr>
          <w:rFonts w:ascii="Calibri" w:eastAsia="MS Mincho" w:hAnsi="Calibri" w:cs="Times New Roman"/>
          <w:kern w:val="0"/>
          <w:sz w:val="24"/>
          <w:szCs w:val="24"/>
          <w:lang w:val="es-ES"/>
          <w14:ligatures w14:val="none"/>
        </w:rPr>
        <w:t>renovación</w:t>
      </w:r>
      <w:r w:rsidR="00B92405" w:rsidRPr="756E8E9E">
        <w:rPr>
          <w:rFonts w:ascii="Calibri" w:eastAsia="MS Mincho" w:hAnsi="Calibri" w:cs="Times New Roman"/>
          <w:kern w:val="0"/>
          <w:sz w:val="24"/>
          <w:szCs w:val="24"/>
          <w:lang w:val="es-ES"/>
          <w14:ligatures w14:val="none"/>
        </w:rPr>
        <w:t xml:space="preserve"> de un nuevo sistema de </w:t>
      </w:r>
      <w:r w:rsidR="005C7FA3" w:rsidRPr="756E8E9E">
        <w:rPr>
          <w:rFonts w:ascii="Calibri" w:eastAsia="MS Mincho" w:hAnsi="Calibri" w:cs="Times New Roman"/>
          <w:kern w:val="0"/>
          <w:sz w:val="24"/>
          <w:szCs w:val="24"/>
          <w:lang w:val="es-ES"/>
          <w14:ligatures w14:val="none"/>
        </w:rPr>
        <w:t>office 365</w:t>
      </w:r>
      <w:r w:rsidR="00B92405" w:rsidRPr="756E8E9E">
        <w:rPr>
          <w:rFonts w:ascii="Calibri" w:eastAsia="MS Mincho" w:hAnsi="Calibri" w:cs="Times New Roman"/>
          <w:kern w:val="0"/>
          <w:sz w:val="24"/>
          <w:szCs w:val="24"/>
          <w:lang w:val="es-ES"/>
          <w14:ligatures w14:val="none"/>
        </w:rPr>
        <w:t xml:space="preserve"> es para la mejora continua de los servicios TI</w:t>
      </w:r>
      <w:r w:rsidR="005C7FA3" w:rsidRPr="756E8E9E">
        <w:rPr>
          <w:rFonts w:ascii="Calibri" w:eastAsia="MS Mincho" w:hAnsi="Calibri" w:cs="Times New Roman"/>
          <w:kern w:val="0"/>
          <w:sz w:val="24"/>
          <w:szCs w:val="24"/>
          <w:lang w:val="es-ES"/>
          <w14:ligatures w14:val="none"/>
        </w:rPr>
        <w:t>C</w:t>
      </w:r>
      <w:r w:rsidR="00B92405" w:rsidRPr="756E8E9E">
        <w:rPr>
          <w:rFonts w:ascii="Calibri" w:eastAsia="MS Mincho" w:hAnsi="Calibri" w:cs="Times New Roman"/>
          <w:kern w:val="0"/>
          <w:sz w:val="24"/>
          <w:szCs w:val="24"/>
          <w:lang w:val="es-ES"/>
          <w14:ligatures w14:val="none"/>
        </w:rPr>
        <w:t xml:space="preserve"> de la institución y para dar mejor servicio a nuestros usuarios.</w:t>
      </w:r>
      <w:r w:rsidR="00F738DE" w:rsidRPr="756E8E9E">
        <w:rPr>
          <w:rFonts w:ascii="Calibri" w:eastAsia="MS Mincho" w:hAnsi="Calibri" w:cs="Times New Roman"/>
          <w:kern w:val="0"/>
          <w:sz w:val="24"/>
          <w:szCs w:val="24"/>
          <w:lang w:val="es-ES"/>
          <w14:ligatures w14:val="none"/>
        </w:rPr>
        <w:t xml:space="preserve"> </w:t>
      </w:r>
      <w:r w:rsidR="00F738DE">
        <w:rPr>
          <w:rFonts w:ascii="Calibri" w:eastAsia="MS Mincho" w:hAnsi="Calibri" w:cs="Times New Roman"/>
          <w:kern w:val="0"/>
          <w:sz w:val="24"/>
          <w:szCs w:val="24"/>
          <w:lang w:val="es-ES"/>
          <w14:ligatures w14:val="none"/>
        </w:rPr>
        <w:t xml:space="preserve">Este producto, se cumplió en la totalidad. </w:t>
      </w:r>
    </w:p>
    <w:p w14:paraId="30C5EC3B" w14:textId="77777777" w:rsidR="00D82265" w:rsidRDefault="00D82265" w:rsidP="00B92405">
      <w:pPr>
        <w:tabs>
          <w:tab w:val="left" w:pos="7335"/>
        </w:tabs>
        <w:suppressAutoHyphens/>
        <w:autoSpaceDN w:val="0"/>
        <w:spacing w:after="0" w:line="240" w:lineRule="auto"/>
        <w:jc w:val="both"/>
        <w:rPr>
          <w:rFonts w:ascii="Calibri" w:eastAsia="MS Mincho" w:hAnsi="Calibri" w:cs="Times New Roman"/>
          <w:kern w:val="0"/>
          <w:sz w:val="24"/>
          <w:lang w:val="es-ES"/>
          <w14:ligatures w14:val="none"/>
        </w:rPr>
      </w:pPr>
    </w:p>
    <w:p w14:paraId="7326D10C" w14:textId="6AAF6C48" w:rsidR="00D82265" w:rsidRDefault="00283820" w:rsidP="00B92405">
      <w:pPr>
        <w:tabs>
          <w:tab w:val="left" w:pos="7335"/>
        </w:tabs>
        <w:suppressAutoHyphens/>
        <w:autoSpaceDN w:val="0"/>
        <w:spacing w:after="0" w:line="240" w:lineRule="auto"/>
        <w:jc w:val="both"/>
        <w:rPr>
          <w:rFonts w:ascii="Calibri" w:eastAsia="MS Mincho" w:hAnsi="Calibri" w:cs="Times New Roman"/>
          <w:kern w:val="0"/>
          <w:sz w:val="24"/>
          <w:szCs w:val="24"/>
          <w:lang w:val="es-ES"/>
          <w14:ligatures w14:val="none"/>
        </w:rPr>
      </w:pPr>
      <w:r>
        <w:rPr>
          <w:noProof/>
          <w:lang w:val="es-ES" w:eastAsia="es-ES"/>
        </w:rPr>
        <w:lastRenderedPageBreak/>
        <w:drawing>
          <wp:inline distT="0" distB="0" distL="0" distR="0" wp14:anchorId="66D9EF94" wp14:editId="3B46CF48">
            <wp:extent cx="5612130" cy="2013857"/>
            <wp:effectExtent l="0" t="0" r="7620" b="5715"/>
            <wp:docPr id="1386660815"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1B4B3AD-D1F6-7DE9-1969-3F53CB30AD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Pr>
          <w:rFonts w:ascii="Calibri" w:eastAsia="MS Mincho" w:hAnsi="Calibri" w:cs="Times New Roman"/>
          <w:kern w:val="0"/>
          <w:sz w:val="24"/>
          <w:szCs w:val="24"/>
          <w:lang w:val="es-ES"/>
          <w14:ligatures w14:val="none"/>
        </w:rPr>
        <w:t>La solicitud de este producto aún está en compra.</w:t>
      </w:r>
    </w:p>
    <w:p w14:paraId="1E8C895C" w14:textId="77777777" w:rsidR="008915B9" w:rsidRDefault="008915B9" w:rsidP="00A21462">
      <w:pPr>
        <w:autoSpaceDN w:val="0"/>
        <w:spacing w:after="0" w:line="240" w:lineRule="auto"/>
        <w:ind w:right="57"/>
        <w:jc w:val="both"/>
        <w:rPr>
          <w:rFonts w:ascii="Calibri" w:eastAsia="MS Mincho" w:hAnsi="Calibri" w:cs="Times New Roman"/>
          <w:kern w:val="0"/>
          <w:sz w:val="24"/>
          <w:lang w:val="es-ES"/>
          <w14:ligatures w14:val="none"/>
        </w:rPr>
      </w:pPr>
    </w:p>
    <w:p w14:paraId="475578B2" w14:textId="3E972439" w:rsidR="00A21462" w:rsidRDefault="004225D9" w:rsidP="00A21462">
      <w:pPr>
        <w:autoSpaceDN w:val="0"/>
        <w:spacing w:after="0" w:line="240" w:lineRule="auto"/>
        <w:ind w:right="57"/>
        <w:jc w:val="both"/>
        <w:rPr>
          <w:rFonts w:ascii="Calibri" w:eastAsia="MS Mincho" w:hAnsi="Calibri" w:cs="Times New Roman"/>
          <w:kern w:val="0"/>
          <w:sz w:val="24"/>
          <w:szCs w:val="24"/>
          <w:lang w:val="es-ES"/>
          <w14:ligatures w14:val="none"/>
        </w:rPr>
      </w:pPr>
      <w:r>
        <w:rPr>
          <w:noProof/>
          <w:lang w:val="es-ES" w:eastAsia="es-ES"/>
        </w:rPr>
        <w:drawing>
          <wp:inline distT="0" distB="0" distL="0" distR="0" wp14:anchorId="27BA9F00" wp14:editId="2DBF8A3D">
            <wp:extent cx="5612130" cy="2305050"/>
            <wp:effectExtent l="0" t="0" r="7620" b="0"/>
            <wp:docPr id="2062863849"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7195F38-839A-CF1C-FF34-6A284F0AE5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sidR="00283820">
        <w:rPr>
          <w:rFonts w:ascii="Calibri" w:eastAsia="MS Mincho" w:hAnsi="Calibri" w:cs="Times New Roman"/>
          <w:kern w:val="0"/>
          <w:sz w:val="24"/>
          <w:szCs w:val="24"/>
          <w:lang w:val="es-ES"/>
          <w14:ligatures w14:val="none"/>
        </w:rPr>
        <w:t>La solicitud de este producto aún está en compra.</w:t>
      </w:r>
    </w:p>
    <w:p w14:paraId="6823BAAC" w14:textId="77777777" w:rsidR="00D55D2C" w:rsidRDefault="00D55D2C" w:rsidP="00B92405">
      <w:pPr>
        <w:autoSpaceDN w:val="0"/>
        <w:spacing w:after="0" w:line="240" w:lineRule="auto"/>
        <w:ind w:right="57"/>
        <w:jc w:val="both"/>
        <w:rPr>
          <w:rFonts w:ascii="Calibri" w:eastAsia="MS Mincho" w:hAnsi="Calibri" w:cs="Times New Roman"/>
          <w:kern w:val="0"/>
          <w:sz w:val="24"/>
          <w:lang w:val="es-ES"/>
          <w14:ligatures w14:val="none"/>
        </w:rPr>
      </w:pPr>
    </w:p>
    <w:p w14:paraId="74E72849" w14:textId="5931A4C7" w:rsidR="00D82265" w:rsidRDefault="00283820" w:rsidP="00B92405">
      <w:pPr>
        <w:autoSpaceDN w:val="0"/>
        <w:spacing w:after="0" w:line="240" w:lineRule="auto"/>
        <w:ind w:right="57"/>
        <w:jc w:val="both"/>
        <w:rPr>
          <w:rFonts w:ascii="Calibri" w:eastAsia="MS Mincho" w:hAnsi="Calibri" w:cs="Times New Roman"/>
          <w:kern w:val="0"/>
          <w:sz w:val="24"/>
          <w:szCs w:val="24"/>
          <w:lang w:val="es-ES"/>
          <w14:ligatures w14:val="none"/>
        </w:rPr>
      </w:pPr>
      <w:r>
        <w:rPr>
          <w:noProof/>
          <w:lang w:val="es-ES" w:eastAsia="es-ES"/>
        </w:rPr>
        <w:drawing>
          <wp:inline distT="0" distB="0" distL="0" distR="0" wp14:anchorId="608B48F9" wp14:editId="2DC009DB">
            <wp:extent cx="5612130" cy="1948543"/>
            <wp:effectExtent l="0" t="0" r="7620" b="13970"/>
            <wp:docPr id="387227664"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C347A90-12D4-598F-570C-87014E527F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Pr>
          <w:rFonts w:ascii="Calibri" w:eastAsia="MS Mincho" w:hAnsi="Calibri" w:cs="Times New Roman"/>
          <w:kern w:val="0"/>
          <w:sz w:val="24"/>
          <w:szCs w:val="24"/>
          <w:lang w:val="es-ES"/>
          <w14:ligatures w14:val="none"/>
        </w:rPr>
        <w:t>La solicitud de este producto aún está en compra.</w:t>
      </w:r>
    </w:p>
    <w:p w14:paraId="5B16D5B4" w14:textId="77777777" w:rsidR="004225D9" w:rsidRPr="00B92405" w:rsidRDefault="004225D9" w:rsidP="00B92405">
      <w:pPr>
        <w:autoSpaceDN w:val="0"/>
        <w:spacing w:after="0" w:line="240" w:lineRule="auto"/>
        <w:ind w:right="57"/>
        <w:jc w:val="both"/>
        <w:rPr>
          <w:rFonts w:ascii="Calibri" w:eastAsia="MS Mincho" w:hAnsi="Calibri" w:cs="Times New Roman"/>
          <w:kern w:val="0"/>
          <w:sz w:val="24"/>
          <w:lang w:val="es-ES"/>
          <w14:ligatures w14:val="none"/>
        </w:rPr>
      </w:pPr>
    </w:p>
    <w:p w14:paraId="1595B3CB" w14:textId="4C088DF1" w:rsidR="00B92405" w:rsidRPr="00B92405" w:rsidRDefault="00B1241B" w:rsidP="756E8E9E">
      <w:pPr>
        <w:tabs>
          <w:tab w:val="left" w:pos="7335"/>
        </w:tabs>
        <w:suppressAutoHyphens/>
        <w:autoSpaceDN w:val="0"/>
        <w:spacing w:after="0" w:line="240" w:lineRule="auto"/>
        <w:rPr>
          <w:rFonts w:ascii="Calibri" w:eastAsia="MS Mincho" w:hAnsi="Calibri" w:cs="Times New Roman"/>
          <w:kern w:val="0"/>
          <w:sz w:val="24"/>
          <w:szCs w:val="24"/>
          <w:lang w:val="es-ES"/>
          <w14:ligatures w14:val="none"/>
        </w:rPr>
      </w:pPr>
      <w:r>
        <w:rPr>
          <w:noProof/>
          <w:lang w:val="es-ES" w:eastAsia="es-ES"/>
        </w:rPr>
        <w:lastRenderedPageBreak/>
        <w:drawing>
          <wp:inline distT="0" distB="0" distL="0" distR="0" wp14:anchorId="7F3A3FD2" wp14:editId="743E022D">
            <wp:extent cx="5612130" cy="1894115"/>
            <wp:effectExtent l="0" t="0" r="7620" b="11430"/>
            <wp:docPr id="240753965"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72A7079-CDA9-4263-9C78-CFB055312A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Pr>
          <w:rFonts w:ascii="Calibri" w:eastAsia="MS Mincho" w:hAnsi="Calibri" w:cs="Times New Roman"/>
          <w:kern w:val="0"/>
          <w:sz w:val="24"/>
          <w:szCs w:val="24"/>
          <w:lang w:val="es-ES"/>
          <w14:ligatures w14:val="none"/>
        </w:rPr>
        <w:t>Este producto, se cumplió en la totalidad.</w:t>
      </w:r>
    </w:p>
    <w:p w14:paraId="6948B97E" w14:textId="77777777" w:rsidR="008915B9" w:rsidRDefault="008915B9" w:rsidP="00F738DE">
      <w:pPr>
        <w:spacing w:after="0" w:line="240" w:lineRule="auto"/>
        <w:jc w:val="center"/>
        <w:rPr>
          <w:rFonts w:ascii="Calibri" w:eastAsia="MS Mincho" w:hAnsi="Calibri" w:cs="Times New Roman"/>
          <w:b/>
          <w:bCs/>
          <w:sz w:val="24"/>
          <w:szCs w:val="24"/>
          <w:lang w:val="es-ES"/>
        </w:rPr>
      </w:pPr>
    </w:p>
    <w:p w14:paraId="3149CE07" w14:textId="41CBED57" w:rsidR="00C360DD" w:rsidRDefault="00B1241B" w:rsidP="756E8E9E">
      <w:pPr>
        <w:spacing w:after="0" w:line="240" w:lineRule="auto"/>
        <w:rPr>
          <w:rFonts w:ascii="Calibri" w:eastAsia="MS Mincho" w:hAnsi="Calibri" w:cs="Times New Roman"/>
          <w:kern w:val="0"/>
          <w:sz w:val="24"/>
          <w:szCs w:val="24"/>
          <w:lang w:val="es-ES"/>
          <w14:ligatures w14:val="none"/>
        </w:rPr>
      </w:pPr>
      <w:r>
        <w:rPr>
          <w:noProof/>
          <w:lang w:val="es-ES" w:eastAsia="es-ES"/>
        </w:rPr>
        <w:drawing>
          <wp:inline distT="0" distB="0" distL="0" distR="0" wp14:anchorId="475D0416" wp14:editId="57E600F8">
            <wp:extent cx="5612130" cy="2307771"/>
            <wp:effectExtent l="0" t="0" r="7620" b="16510"/>
            <wp:docPr id="1197788275"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0BC75FB-7965-4432-9F74-92BE8B5506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Pr>
          <w:rFonts w:ascii="Calibri" w:eastAsia="MS Mincho" w:hAnsi="Calibri" w:cs="Times New Roman"/>
          <w:kern w:val="0"/>
          <w:sz w:val="24"/>
          <w:szCs w:val="24"/>
          <w:lang w:val="es-ES"/>
          <w14:ligatures w14:val="none"/>
        </w:rPr>
        <w:t>Este producto, se cumplió en la totalidad.</w:t>
      </w:r>
    </w:p>
    <w:p w14:paraId="0BE9D60B" w14:textId="77777777" w:rsidR="00272EB6" w:rsidRDefault="00272EB6" w:rsidP="00F738DE">
      <w:pPr>
        <w:spacing w:after="0" w:line="240" w:lineRule="auto"/>
        <w:jc w:val="center"/>
        <w:rPr>
          <w:rFonts w:ascii="Calibri" w:eastAsia="MS Mincho" w:hAnsi="Calibri" w:cs="Times New Roman"/>
          <w:b/>
          <w:bCs/>
          <w:sz w:val="24"/>
          <w:szCs w:val="24"/>
          <w:lang w:val="es-ES"/>
        </w:rPr>
      </w:pPr>
    </w:p>
    <w:p w14:paraId="5120435D" w14:textId="11B9F491" w:rsidR="00C360DD" w:rsidRDefault="0054321E" w:rsidP="756E8E9E">
      <w:pPr>
        <w:spacing w:after="0" w:line="240" w:lineRule="auto"/>
        <w:rPr>
          <w:rFonts w:ascii="Calibri" w:eastAsia="MS Mincho" w:hAnsi="Calibri" w:cs="Times New Roman"/>
          <w:kern w:val="0"/>
          <w:sz w:val="24"/>
          <w:szCs w:val="24"/>
          <w:lang w:val="es-ES"/>
          <w14:ligatures w14:val="none"/>
        </w:rPr>
      </w:pPr>
      <w:r>
        <w:rPr>
          <w:noProof/>
          <w:lang w:val="es-ES" w:eastAsia="es-ES"/>
        </w:rPr>
        <w:drawing>
          <wp:inline distT="0" distB="0" distL="0" distR="0" wp14:anchorId="25E80BB6" wp14:editId="18D625B5">
            <wp:extent cx="5612130" cy="1926771"/>
            <wp:effectExtent l="0" t="0" r="7620" b="16510"/>
            <wp:docPr id="1872487372"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03EDB84-2A31-4A5B-8A88-7D55764EC7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sidR="00F738DE" w:rsidRPr="756E8E9E">
        <w:rPr>
          <w:rFonts w:ascii="Calibri" w:eastAsia="MS Mincho" w:hAnsi="Calibri" w:cs="Times New Roman"/>
          <w:kern w:val="0"/>
          <w:sz w:val="24"/>
          <w:szCs w:val="24"/>
          <w:lang w:val="es-ES"/>
          <w14:ligatures w14:val="none"/>
        </w:rPr>
        <w:t>Este producto está programado para los trimestres 2, 3 y 4</w:t>
      </w:r>
      <w:r w:rsidRPr="756E8E9E">
        <w:rPr>
          <w:rFonts w:ascii="Calibri" w:eastAsia="MS Mincho" w:hAnsi="Calibri" w:cs="Times New Roman"/>
          <w:kern w:val="0"/>
          <w:sz w:val="24"/>
          <w:szCs w:val="24"/>
          <w:lang w:val="es-ES"/>
          <w14:ligatures w14:val="none"/>
        </w:rPr>
        <w:t>, no fue cumplido.</w:t>
      </w:r>
    </w:p>
    <w:p w14:paraId="22A7A87E" w14:textId="77777777" w:rsidR="008457B2" w:rsidRDefault="008457B2" w:rsidP="008457B2">
      <w:pPr>
        <w:jc w:val="center"/>
        <w:rPr>
          <w:rFonts w:ascii="Calibri" w:eastAsia="MS Mincho" w:hAnsi="Calibri" w:cs="Times New Roman"/>
          <w:b/>
          <w:bCs/>
          <w:sz w:val="24"/>
          <w:szCs w:val="24"/>
          <w:lang w:val="es-ES"/>
        </w:rPr>
      </w:pPr>
    </w:p>
    <w:p w14:paraId="75D88CD1" w14:textId="6C77C6C9" w:rsidR="00597B24" w:rsidRDefault="00826BF9" w:rsidP="756E8E9E">
      <w:pPr>
        <w:spacing w:after="0" w:line="240" w:lineRule="auto"/>
        <w:rPr>
          <w:rFonts w:ascii="Calibri" w:eastAsia="MS Mincho" w:hAnsi="Calibri" w:cs="Times New Roman"/>
          <w:kern w:val="0"/>
          <w:sz w:val="24"/>
          <w:szCs w:val="24"/>
          <w:lang w:val="es-ES"/>
          <w14:ligatures w14:val="none"/>
        </w:rPr>
      </w:pPr>
      <w:r>
        <w:rPr>
          <w:noProof/>
          <w:lang w:val="es-ES" w:eastAsia="es-ES"/>
        </w:rPr>
        <w:lastRenderedPageBreak/>
        <w:drawing>
          <wp:inline distT="0" distB="0" distL="0" distR="0" wp14:anchorId="4A11EC2E" wp14:editId="1AE0B7F0">
            <wp:extent cx="5612130" cy="2068286"/>
            <wp:effectExtent l="0" t="0" r="7620" b="8255"/>
            <wp:docPr id="1905493601"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E6FEFFB-271D-4F18-82E4-C31D2C7705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00F738DE" w:rsidRPr="756E8E9E">
        <w:rPr>
          <w:rFonts w:ascii="Calibri" w:eastAsia="MS Mincho" w:hAnsi="Calibri" w:cs="Times New Roman"/>
          <w:kern w:val="0"/>
          <w:sz w:val="24"/>
          <w:szCs w:val="24"/>
          <w:lang w:val="es-ES"/>
          <w14:ligatures w14:val="none"/>
        </w:rPr>
        <w:t>Este producto está programado para los trimestres 2, 3 y 4.</w:t>
      </w:r>
    </w:p>
    <w:p w14:paraId="423E990E" w14:textId="77777777" w:rsidR="00CD438F" w:rsidRDefault="00CD438F" w:rsidP="00F3754D">
      <w:pPr>
        <w:jc w:val="center"/>
        <w:rPr>
          <w:rFonts w:ascii="Calibri" w:eastAsia="MS Mincho" w:hAnsi="Calibri" w:cs="Times New Roman"/>
          <w:b/>
          <w:bCs/>
          <w:sz w:val="24"/>
          <w:szCs w:val="24"/>
          <w:lang w:val="es-ES"/>
        </w:rPr>
      </w:pPr>
    </w:p>
    <w:p w14:paraId="692D9308" w14:textId="7958691B" w:rsidR="00CD438F" w:rsidRPr="00B722FF" w:rsidRDefault="00CD438F" w:rsidP="756E8E9E">
      <w:pPr>
        <w:suppressAutoHyphens/>
        <w:autoSpaceDN w:val="0"/>
        <w:spacing w:after="0" w:line="276" w:lineRule="auto"/>
        <w:ind w:right="57"/>
        <w:jc w:val="both"/>
        <w:rPr>
          <w:rFonts w:ascii="Calibri" w:eastAsia="MS Mincho" w:hAnsi="Calibri" w:cs="Times New Roman"/>
          <w:b/>
          <w:bCs/>
          <w:kern w:val="0"/>
          <w:sz w:val="28"/>
          <w:szCs w:val="28"/>
          <w:lang w:val="es-ES"/>
          <w14:ligatures w14:val="none"/>
        </w:rPr>
      </w:pPr>
      <w:r w:rsidRPr="756E8E9E">
        <w:rPr>
          <w:rFonts w:ascii="Calibri" w:eastAsia="MS Mincho" w:hAnsi="Calibri" w:cs="Times New Roman"/>
          <w:b/>
          <w:bCs/>
          <w:i/>
          <w:iCs/>
          <w:kern w:val="0"/>
          <w:sz w:val="25"/>
          <w:szCs w:val="25"/>
          <w:u w:val="single"/>
          <w:lang w:val="es-ES"/>
          <w14:ligatures w14:val="none"/>
        </w:rPr>
        <w:t>Área Responsable</w:t>
      </w:r>
      <w:r w:rsidRPr="756E8E9E">
        <w:rPr>
          <w:rFonts w:ascii="Calibri" w:eastAsia="MS Mincho" w:hAnsi="Calibri" w:cs="Times New Roman"/>
          <w:b/>
          <w:bCs/>
          <w:kern w:val="0"/>
          <w:sz w:val="25"/>
          <w:szCs w:val="25"/>
          <w:lang w:val="es-ES"/>
          <w14:ligatures w14:val="none"/>
        </w:rPr>
        <w:t xml:space="preserve">: Comunicación. </w:t>
      </w:r>
      <w:r w:rsidRPr="756E8E9E">
        <w:rPr>
          <w:rFonts w:ascii="Calibri" w:eastAsia="MS Mincho" w:hAnsi="Calibri" w:cs="Times New Roman"/>
          <w:b/>
          <w:bCs/>
          <w:i/>
          <w:iCs/>
          <w:kern w:val="0"/>
          <w:sz w:val="25"/>
          <w:szCs w:val="25"/>
          <w:u w:val="single"/>
          <w:lang w:val="es-ES"/>
          <w14:ligatures w14:val="none"/>
        </w:rPr>
        <w:t>áreas Involucradas</w:t>
      </w:r>
      <w:r w:rsidRPr="756E8E9E">
        <w:rPr>
          <w:rFonts w:ascii="Calibri" w:eastAsia="MS Mincho" w:hAnsi="Calibri" w:cs="Times New Roman"/>
          <w:b/>
          <w:bCs/>
          <w:kern w:val="0"/>
          <w:sz w:val="25"/>
          <w:szCs w:val="25"/>
          <w:lang w:val="es-ES"/>
          <w14:ligatures w14:val="none"/>
        </w:rPr>
        <w:t xml:space="preserve">: MAE, Relaciones </w:t>
      </w:r>
      <w:r w:rsidR="57F9C7E1" w:rsidRPr="756E8E9E">
        <w:rPr>
          <w:rFonts w:ascii="Calibri" w:eastAsia="MS Mincho" w:hAnsi="Calibri" w:cs="Times New Roman"/>
          <w:b/>
          <w:bCs/>
          <w:kern w:val="0"/>
          <w:sz w:val="25"/>
          <w:szCs w:val="25"/>
          <w:lang w:val="es-ES"/>
          <w14:ligatures w14:val="none"/>
        </w:rPr>
        <w:t>Públicas</w:t>
      </w:r>
      <w:r w:rsidRPr="756E8E9E">
        <w:rPr>
          <w:rFonts w:ascii="Calibri" w:eastAsia="MS Mincho" w:hAnsi="Calibri" w:cs="Times New Roman"/>
          <w:b/>
          <w:bCs/>
          <w:kern w:val="0"/>
          <w:sz w:val="25"/>
          <w:szCs w:val="25"/>
          <w:lang w:val="es-ES"/>
          <w14:ligatures w14:val="none"/>
        </w:rPr>
        <w:t xml:space="preserve"> y Administrativo.</w:t>
      </w:r>
    </w:p>
    <w:p w14:paraId="65F0263B" w14:textId="131139CD" w:rsidR="00CD438F" w:rsidRPr="00B92405" w:rsidRDefault="003F289B" w:rsidP="756E8E9E">
      <w:pPr>
        <w:tabs>
          <w:tab w:val="left" w:pos="7335"/>
        </w:tabs>
        <w:suppressAutoHyphens/>
        <w:autoSpaceDN w:val="0"/>
        <w:spacing w:after="0" w:line="240" w:lineRule="auto"/>
        <w:jc w:val="both"/>
        <w:rPr>
          <w:rFonts w:ascii="Calibri" w:eastAsia="MS Mincho" w:hAnsi="Calibri" w:cs="Times New Roman"/>
          <w:kern w:val="0"/>
          <w:sz w:val="24"/>
          <w:szCs w:val="24"/>
          <w:lang w:val="es-ES"/>
          <w14:ligatures w14:val="none"/>
        </w:rPr>
      </w:pPr>
      <w:r>
        <w:rPr>
          <w:noProof/>
          <w:lang w:val="es-ES" w:eastAsia="es-ES"/>
        </w:rPr>
        <w:drawing>
          <wp:inline distT="0" distB="0" distL="0" distR="0" wp14:anchorId="207A090F" wp14:editId="36E8090F">
            <wp:extent cx="5612130" cy="2209165"/>
            <wp:effectExtent l="57150" t="0" r="64770" b="114935"/>
            <wp:docPr id="1477760819"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06F3858-B377-4564-57E9-3A7C720884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sidR="001D1C15" w:rsidRPr="756E8E9E">
        <w:rPr>
          <w:lang w:val="es-ES"/>
        </w:rPr>
        <w:t>Elaboramos y remitimos tres (3) boletines, con una periodicidad mensual, para un cumplimiento de un 100% de la meta</w:t>
      </w:r>
    </w:p>
    <w:p w14:paraId="48F7A317" w14:textId="7087625D" w:rsidR="00CD438F" w:rsidRDefault="00CD438F" w:rsidP="00CD438F">
      <w:pPr>
        <w:tabs>
          <w:tab w:val="left" w:pos="7335"/>
        </w:tabs>
        <w:suppressAutoHyphens/>
        <w:autoSpaceDN w:val="0"/>
        <w:spacing w:after="0" w:line="240" w:lineRule="auto"/>
        <w:jc w:val="both"/>
        <w:rPr>
          <w:rFonts w:ascii="Calibri" w:eastAsia="MS Mincho" w:hAnsi="Calibri" w:cs="Times New Roman"/>
          <w:kern w:val="0"/>
          <w:sz w:val="24"/>
          <w:lang w:val="es-ES"/>
          <w14:ligatures w14:val="none"/>
        </w:rPr>
      </w:pPr>
    </w:p>
    <w:p w14:paraId="57431956" w14:textId="77777777" w:rsidR="003F289B" w:rsidRDefault="003F289B" w:rsidP="00CD438F">
      <w:pPr>
        <w:tabs>
          <w:tab w:val="left" w:pos="7335"/>
        </w:tabs>
        <w:suppressAutoHyphens/>
        <w:autoSpaceDN w:val="0"/>
        <w:spacing w:after="0" w:line="240" w:lineRule="auto"/>
        <w:jc w:val="both"/>
        <w:rPr>
          <w:rFonts w:ascii="Calibri" w:eastAsia="MS Mincho" w:hAnsi="Calibri" w:cs="Times New Roman"/>
          <w:kern w:val="0"/>
          <w:sz w:val="24"/>
          <w:lang w:val="es-ES"/>
          <w14:ligatures w14:val="none"/>
        </w:rPr>
      </w:pPr>
    </w:p>
    <w:p w14:paraId="5F387448" w14:textId="0884600B" w:rsidR="003F289B" w:rsidRPr="003F289B" w:rsidRDefault="003F289B" w:rsidP="756E8E9E">
      <w:pPr>
        <w:tabs>
          <w:tab w:val="left" w:pos="7335"/>
        </w:tabs>
        <w:suppressAutoHyphens/>
        <w:autoSpaceDN w:val="0"/>
        <w:spacing w:after="0" w:line="240" w:lineRule="auto"/>
        <w:jc w:val="both"/>
        <w:rPr>
          <w:rFonts w:ascii="Calibri" w:eastAsia="MS Mincho" w:hAnsi="Calibri" w:cs="Times New Roman"/>
          <w:kern w:val="0"/>
          <w:sz w:val="24"/>
          <w:szCs w:val="24"/>
          <w:lang w:val="es-ES"/>
          <w14:ligatures w14:val="none"/>
        </w:rPr>
      </w:pPr>
      <w:r>
        <w:rPr>
          <w:noProof/>
          <w:lang w:val="es-ES" w:eastAsia="es-ES"/>
        </w:rPr>
        <w:drawing>
          <wp:inline distT="0" distB="0" distL="0" distR="0" wp14:anchorId="455ED34F" wp14:editId="3B987896">
            <wp:extent cx="5612130" cy="2188210"/>
            <wp:effectExtent l="0" t="0" r="7620" b="2540"/>
            <wp:docPr id="1337893107"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F83A5E4-BA6B-49AD-A573-9E40F5C3DE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sidR="00CD438F" w:rsidRPr="756E8E9E">
        <w:rPr>
          <w:rFonts w:ascii="Calibri" w:eastAsia="MS Mincho" w:hAnsi="Calibri" w:cs="Times New Roman"/>
          <w:kern w:val="0"/>
          <w:sz w:val="24"/>
          <w:szCs w:val="24"/>
          <w:lang w:val="es-ES"/>
          <w14:ligatures w14:val="none"/>
        </w:rPr>
        <w:t>Nuestr</w:t>
      </w:r>
      <w:r w:rsidR="17B57E93" w:rsidRPr="756E8E9E">
        <w:rPr>
          <w:rFonts w:ascii="Calibri" w:eastAsia="MS Mincho" w:hAnsi="Calibri" w:cs="Times New Roman"/>
          <w:kern w:val="0"/>
          <w:sz w:val="24"/>
          <w:szCs w:val="24"/>
          <w:lang w:val="es-ES"/>
          <w14:ligatures w14:val="none"/>
        </w:rPr>
        <w:t>o</w:t>
      </w:r>
      <w:r w:rsidR="00CD438F" w:rsidRPr="756E8E9E">
        <w:rPr>
          <w:rFonts w:ascii="Calibri" w:eastAsia="MS Mincho" w:hAnsi="Calibri" w:cs="Times New Roman"/>
          <w:kern w:val="0"/>
          <w:sz w:val="24"/>
          <w:szCs w:val="24"/>
          <w:lang w:val="es-ES"/>
          <w14:ligatures w14:val="none"/>
        </w:rPr>
        <w:t xml:space="preserve"> director general tuvo una entrevista con lideres de opinión:</w:t>
      </w:r>
      <w:r w:rsidR="00B94179" w:rsidRPr="756E8E9E">
        <w:rPr>
          <w:rFonts w:ascii="Calibri" w:eastAsia="MS Mincho" w:hAnsi="Calibri" w:cs="Times New Roman"/>
          <w:kern w:val="0"/>
          <w:sz w:val="24"/>
          <w:szCs w:val="24"/>
          <w:lang w:val="es-ES"/>
          <w14:ligatures w14:val="none"/>
        </w:rPr>
        <w:t xml:space="preserve"> Durante el período </w:t>
      </w:r>
      <w:r w:rsidR="00B94179" w:rsidRPr="756E8E9E">
        <w:rPr>
          <w:rFonts w:ascii="Calibri" w:eastAsia="MS Mincho" w:hAnsi="Calibri" w:cs="Times New Roman"/>
          <w:kern w:val="0"/>
          <w:sz w:val="24"/>
          <w:szCs w:val="24"/>
          <w:lang w:val="es-ES"/>
          <w14:ligatures w14:val="none"/>
        </w:rPr>
        <w:lastRenderedPageBreak/>
        <w:t>octubre-diciembre, coordinamos un total de 09 presencias en los medios de comunicación propios y externos que contribuyeron a fortalecer la imagen institucional, a través del envío de notas de prensa y la promoción de contenido relevante por nuestras plataformas digitales.</w:t>
      </w:r>
    </w:p>
    <w:p w14:paraId="22791E2A" w14:textId="77777777" w:rsidR="00CD438F" w:rsidRPr="00B92405" w:rsidRDefault="00CD438F" w:rsidP="00CD438F">
      <w:pPr>
        <w:tabs>
          <w:tab w:val="left" w:pos="7335"/>
        </w:tabs>
        <w:suppressAutoHyphens/>
        <w:autoSpaceDN w:val="0"/>
        <w:spacing w:after="0" w:line="240" w:lineRule="auto"/>
        <w:ind w:left="720"/>
        <w:jc w:val="both"/>
        <w:rPr>
          <w:rFonts w:ascii="Times New Roman" w:eastAsia="Times New Roman" w:hAnsi="Times New Roman" w:cs="Times New Roman"/>
          <w:kern w:val="0"/>
          <w:sz w:val="24"/>
          <w:szCs w:val="24"/>
          <w:lang w:val="es-DO" w:eastAsia="es-ES"/>
          <w14:ligatures w14:val="none"/>
        </w:rPr>
      </w:pPr>
    </w:p>
    <w:p w14:paraId="130D7558" w14:textId="1E2BA7D1" w:rsidR="00CD438F" w:rsidRPr="00B92405" w:rsidRDefault="003F289B" w:rsidP="756E8E9E">
      <w:pPr>
        <w:tabs>
          <w:tab w:val="left" w:pos="7335"/>
        </w:tabs>
        <w:suppressAutoHyphens/>
        <w:autoSpaceDN w:val="0"/>
        <w:spacing w:after="0" w:line="240" w:lineRule="auto"/>
        <w:jc w:val="both"/>
        <w:rPr>
          <w:rFonts w:ascii="Calibri" w:eastAsia="MS Mincho" w:hAnsi="Calibri" w:cs="Times New Roman"/>
          <w:kern w:val="0"/>
          <w:sz w:val="24"/>
          <w:szCs w:val="24"/>
          <w:lang w:val="es-DO"/>
          <w14:ligatures w14:val="none"/>
        </w:rPr>
      </w:pPr>
      <w:r>
        <w:rPr>
          <w:noProof/>
          <w:lang w:val="es-ES" w:eastAsia="es-ES"/>
        </w:rPr>
        <w:drawing>
          <wp:inline distT="0" distB="0" distL="0" distR="0" wp14:anchorId="0BD1B307" wp14:editId="0A0A5AFF">
            <wp:extent cx="5612130" cy="2122714"/>
            <wp:effectExtent l="0" t="0" r="7620" b="11430"/>
            <wp:docPr id="1077408218" name="Gráfico 1">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F30A3AC-821A-4D1C-9ECA-C67CA9F072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r w:rsidR="001D1C15" w:rsidRPr="756E8E9E">
        <w:rPr>
          <w:rFonts w:ascii="Calibri" w:eastAsia="MS Mincho" w:hAnsi="Calibri" w:cs="Times New Roman"/>
          <w:kern w:val="0"/>
          <w:sz w:val="24"/>
          <w:szCs w:val="24"/>
          <w:lang w:val="es-DO"/>
          <w14:ligatures w14:val="none"/>
        </w:rPr>
        <w:t xml:space="preserve">Durante el trimestre, desarrollamos y difundimos diversas campañas de orientación al ciudadano sobre los servicios y procesos para la obtención del documento de viaje, citadas a continuación: </w:t>
      </w:r>
    </w:p>
    <w:p w14:paraId="05F09FF1" w14:textId="4ED66C81" w:rsidR="00CD438F" w:rsidRPr="001D1C15" w:rsidRDefault="001D1C15" w:rsidP="001D1C15">
      <w:pPr>
        <w:jc w:val="both"/>
        <w:rPr>
          <w:rFonts w:ascii="Calibri" w:eastAsia="MS Mincho" w:hAnsi="Calibri" w:cs="Times New Roman"/>
          <w:kern w:val="0"/>
          <w:sz w:val="24"/>
          <w:lang w:val="es-DO"/>
          <w14:ligatures w14:val="none"/>
        </w:rPr>
      </w:pPr>
      <w:r w:rsidRPr="001D1C15">
        <w:rPr>
          <w:rFonts w:ascii="Calibri" w:eastAsia="MS Mincho" w:hAnsi="Calibri" w:cs="Times New Roman"/>
          <w:kern w:val="0"/>
          <w:sz w:val="24"/>
          <w:lang w:val="es-DO"/>
          <w14:ligatures w14:val="none"/>
        </w:rPr>
        <w:t xml:space="preserve">• Como parte de nuestra campaña ¨Mejoramos para ti¨, en la cual promocionamos las novedades en los servicios y procesos de la institución; difundimos información relacionada con el nuevo horario de nuestra oficina en </w:t>
      </w:r>
      <w:proofErr w:type="spellStart"/>
      <w:r w:rsidRPr="001D1C15">
        <w:rPr>
          <w:rFonts w:ascii="Calibri" w:eastAsia="MS Mincho" w:hAnsi="Calibri" w:cs="Times New Roman"/>
          <w:kern w:val="0"/>
          <w:sz w:val="24"/>
          <w:lang w:val="es-DO"/>
          <w14:ligatures w14:val="none"/>
        </w:rPr>
        <w:t>Megacentro</w:t>
      </w:r>
      <w:proofErr w:type="spellEnd"/>
      <w:r w:rsidRPr="001D1C15">
        <w:rPr>
          <w:rFonts w:ascii="Calibri" w:eastAsia="MS Mincho" w:hAnsi="Calibri" w:cs="Times New Roman"/>
          <w:kern w:val="0"/>
          <w:sz w:val="24"/>
          <w:lang w:val="es-DO"/>
          <w14:ligatures w14:val="none"/>
        </w:rPr>
        <w:t>, así como la apertura de las citas web en las oficinas de Bonao y Parque del Este. Adicional, continuamos con nuestra campaña de educación al usuario, enfocada en los requisitos para el proceso de solicitud del documento en sus diferentes modalidades.</w:t>
      </w:r>
    </w:p>
    <w:p w14:paraId="38EA2005" w14:textId="77777777" w:rsidR="00263EC1" w:rsidRDefault="00263EC1" w:rsidP="00CD438F">
      <w:pPr>
        <w:rPr>
          <w:rFonts w:ascii="Calibri" w:eastAsia="MS Mincho" w:hAnsi="Calibri" w:cs="Times New Roman"/>
          <w:b/>
          <w:bCs/>
          <w:sz w:val="24"/>
          <w:szCs w:val="24"/>
          <w:lang w:val="es-ES"/>
        </w:rPr>
      </w:pPr>
    </w:p>
    <w:p w14:paraId="5CD8385B" w14:textId="77777777" w:rsidR="00263EC1" w:rsidRDefault="00263EC1" w:rsidP="00CD438F">
      <w:pPr>
        <w:rPr>
          <w:rFonts w:ascii="Calibri" w:eastAsia="MS Mincho" w:hAnsi="Calibri" w:cs="Times New Roman"/>
          <w:b/>
          <w:bCs/>
          <w:sz w:val="24"/>
          <w:szCs w:val="24"/>
          <w:lang w:val="es-ES"/>
        </w:rPr>
      </w:pPr>
    </w:p>
    <w:p w14:paraId="1306EEBD" w14:textId="78A15728" w:rsidR="00D6674D" w:rsidRPr="007632F7" w:rsidRDefault="008E1570" w:rsidP="007632F7">
      <w:pPr>
        <w:jc w:val="center"/>
        <w:rPr>
          <w:rFonts w:ascii="Calibri" w:eastAsia="MS Mincho" w:hAnsi="Calibri" w:cs="Times New Roman"/>
          <w:b/>
          <w:bCs/>
          <w:sz w:val="30"/>
          <w:szCs w:val="30"/>
          <w:lang w:val="es-ES"/>
        </w:rPr>
      </w:pPr>
      <w:r w:rsidRPr="008E1570">
        <w:rPr>
          <w:rFonts w:ascii="Calibri" w:eastAsia="MS Mincho" w:hAnsi="Calibri" w:cs="Times New Roman"/>
          <w:b/>
          <w:bCs/>
          <w:sz w:val="30"/>
          <w:szCs w:val="30"/>
          <w:lang w:val="es-ES"/>
        </w:rPr>
        <w:t>Anexo:</w:t>
      </w:r>
    </w:p>
    <w:p w14:paraId="328ADF4A" w14:textId="77777777" w:rsidR="007632F7" w:rsidRPr="00B9183D" w:rsidRDefault="007632F7" w:rsidP="007632F7">
      <w:pPr>
        <w:spacing w:after="0" w:line="240" w:lineRule="auto"/>
        <w:jc w:val="both"/>
        <w:rPr>
          <w:rFonts w:ascii="Calibri" w:eastAsia="MS Mincho" w:hAnsi="Calibri" w:cs="Times New Roman"/>
          <w:b/>
          <w:bCs/>
          <w:kern w:val="0"/>
          <w:sz w:val="24"/>
          <w:szCs w:val="24"/>
          <w:lang w:val="es-ES"/>
          <w14:ligatures w14:val="none"/>
        </w:rPr>
      </w:pPr>
      <w:r w:rsidRPr="00B9183D">
        <w:rPr>
          <w:rFonts w:ascii="Calibri" w:eastAsia="MS Mincho" w:hAnsi="Calibri" w:cs="Times New Roman"/>
          <w:b/>
          <w:bCs/>
          <w:kern w:val="0"/>
          <w:sz w:val="24"/>
          <w:szCs w:val="24"/>
          <w:lang w:val="es-ES"/>
          <w14:ligatures w14:val="none"/>
        </w:rPr>
        <w:t xml:space="preserve">Cada porcentaje del cumplimiento posee una descripción que identifica, el desempeño de cada área, en el trimestre pautado. </w:t>
      </w:r>
    </w:p>
    <w:tbl>
      <w:tblPr>
        <w:tblStyle w:val="Tablaconcuadrcula"/>
        <w:tblpPr w:leftFromText="180" w:rightFromText="180" w:vertAnchor="text" w:horzAnchor="margin" w:tblpXSpec="center" w:tblpY="233"/>
        <w:tblW w:w="9213" w:type="dxa"/>
        <w:tblLook w:val="04A0" w:firstRow="1" w:lastRow="0" w:firstColumn="1" w:lastColumn="0" w:noHBand="0" w:noVBand="1"/>
      </w:tblPr>
      <w:tblGrid>
        <w:gridCol w:w="2268"/>
        <w:gridCol w:w="6945"/>
      </w:tblGrid>
      <w:tr w:rsidR="007632F7" w14:paraId="37BA064C" w14:textId="77777777" w:rsidTr="00421835">
        <w:tc>
          <w:tcPr>
            <w:tcW w:w="2268" w:type="dxa"/>
            <w:shd w:val="clear" w:color="auto" w:fill="002060"/>
          </w:tcPr>
          <w:p w14:paraId="14A4ECC2" w14:textId="77777777" w:rsidR="007632F7" w:rsidRPr="00FB72E4" w:rsidRDefault="007632F7" w:rsidP="00421835">
            <w:pPr>
              <w:ind w:left="450"/>
              <w:jc w:val="center"/>
              <w:rPr>
                <w:b/>
              </w:rPr>
            </w:pPr>
            <w:r w:rsidRPr="00FB72E4">
              <w:rPr>
                <w:b/>
              </w:rPr>
              <w:t>Rango</w:t>
            </w:r>
          </w:p>
        </w:tc>
        <w:tc>
          <w:tcPr>
            <w:tcW w:w="6945" w:type="dxa"/>
            <w:shd w:val="clear" w:color="auto" w:fill="002060"/>
          </w:tcPr>
          <w:p w14:paraId="161B7DE9" w14:textId="77777777" w:rsidR="007632F7" w:rsidRPr="00FB72E4" w:rsidRDefault="007632F7" w:rsidP="00421835">
            <w:pPr>
              <w:ind w:left="450"/>
              <w:jc w:val="center"/>
              <w:rPr>
                <w:b/>
              </w:rPr>
            </w:pPr>
            <w:r w:rsidRPr="00FB72E4">
              <w:rPr>
                <w:b/>
              </w:rPr>
              <w:t>Descripción</w:t>
            </w:r>
          </w:p>
        </w:tc>
      </w:tr>
      <w:tr w:rsidR="007632F7" w:rsidRPr="00C740BC" w14:paraId="70A5251F" w14:textId="77777777" w:rsidTr="00421835">
        <w:tc>
          <w:tcPr>
            <w:tcW w:w="2268" w:type="dxa"/>
            <w:shd w:val="clear" w:color="auto" w:fill="00B050"/>
          </w:tcPr>
          <w:p w14:paraId="7690635A" w14:textId="77777777" w:rsidR="007632F7" w:rsidRPr="001B2F8D" w:rsidRDefault="007632F7" w:rsidP="00421835">
            <w:pPr>
              <w:ind w:left="450"/>
              <w:jc w:val="both"/>
              <w:rPr>
                <w:color w:val="000000"/>
                <w:lang w:val="es-ES" w:eastAsia="es-ES"/>
              </w:rPr>
            </w:pPr>
            <w:r w:rsidRPr="001B2F8D">
              <w:rPr>
                <w:color w:val="000000"/>
                <w:lang w:val="es-ES" w:eastAsia="es-ES"/>
              </w:rPr>
              <w:t>90%-100%</w:t>
            </w:r>
          </w:p>
        </w:tc>
        <w:tc>
          <w:tcPr>
            <w:tcW w:w="6945" w:type="dxa"/>
          </w:tcPr>
          <w:p w14:paraId="1C407A6B" w14:textId="77777777" w:rsidR="007632F7" w:rsidRPr="001B2F8D" w:rsidRDefault="007632F7" w:rsidP="00421835">
            <w:pPr>
              <w:ind w:left="450"/>
              <w:jc w:val="both"/>
              <w:rPr>
                <w:color w:val="000000"/>
                <w:lang w:val="es-ES" w:eastAsia="es-ES"/>
              </w:rPr>
            </w:pPr>
            <w:r w:rsidRPr="001B2F8D">
              <w:rPr>
                <w:color w:val="000000"/>
                <w:lang w:val="es-ES" w:eastAsia="es-ES"/>
              </w:rPr>
              <w:t xml:space="preserve">Nivel de ejecución Fuerte - Cumplimiento total de las metas del trimestre. </w:t>
            </w:r>
          </w:p>
        </w:tc>
      </w:tr>
      <w:tr w:rsidR="007632F7" w:rsidRPr="00C740BC" w14:paraId="669C08B8" w14:textId="77777777" w:rsidTr="00421835">
        <w:tc>
          <w:tcPr>
            <w:tcW w:w="2268" w:type="dxa"/>
            <w:shd w:val="clear" w:color="auto" w:fill="FFFF00"/>
          </w:tcPr>
          <w:p w14:paraId="0A8E16B1" w14:textId="77777777" w:rsidR="007632F7" w:rsidRPr="001B2F8D" w:rsidRDefault="007632F7" w:rsidP="00421835">
            <w:pPr>
              <w:ind w:left="450"/>
              <w:jc w:val="both"/>
              <w:rPr>
                <w:color w:val="000000"/>
                <w:lang w:val="es-ES" w:eastAsia="es-ES"/>
              </w:rPr>
            </w:pPr>
            <w:r w:rsidRPr="001B2F8D">
              <w:rPr>
                <w:color w:val="000000"/>
                <w:lang w:val="es-ES" w:eastAsia="es-ES"/>
              </w:rPr>
              <w:t>80% - 89%</w:t>
            </w:r>
          </w:p>
        </w:tc>
        <w:tc>
          <w:tcPr>
            <w:tcW w:w="6945" w:type="dxa"/>
          </w:tcPr>
          <w:p w14:paraId="080944AB" w14:textId="77777777" w:rsidR="007632F7" w:rsidRPr="001B2F8D" w:rsidRDefault="007632F7" w:rsidP="00421835">
            <w:pPr>
              <w:ind w:left="450"/>
              <w:jc w:val="both"/>
              <w:rPr>
                <w:color w:val="000000"/>
                <w:lang w:val="es-ES" w:eastAsia="es-ES"/>
              </w:rPr>
            </w:pPr>
            <w:r w:rsidRPr="001B2F8D">
              <w:rPr>
                <w:color w:val="000000"/>
                <w:lang w:val="es-ES" w:eastAsia="es-ES"/>
              </w:rPr>
              <w:t>Nivel de Ejecución Satisfactorio-Cumplimiento parcial de las metas del trimestre.</w:t>
            </w:r>
          </w:p>
        </w:tc>
      </w:tr>
      <w:tr w:rsidR="007632F7" w:rsidRPr="00C740BC" w14:paraId="5DBC9CA1" w14:textId="77777777" w:rsidTr="00421835">
        <w:tc>
          <w:tcPr>
            <w:tcW w:w="2268" w:type="dxa"/>
            <w:shd w:val="clear" w:color="auto" w:fill="F4B083" w:themeFill="accent2" w:themeFillTint="99"/>
          </w:tcPr>
          <w:p w14:paraId="0B076851" w14:textId="77777777" w:rsidR="007632F7" w:rsidRPr="001B2F8D" w:rsidRDefault="007632F7" w:rsidP="00421835">
            <w:pPr>
              <w:ind w:left="450"/>
              <w:jc w:val="both"/>
              <w:rPr>
                <w:color w:val="000000"/>
                <w:lang w:val="es-ES" w:eastAsia="es-ES"/>
              </w:rPr>
            </w:pPr>
            <w:r w:rsidRPr="001B2F8D">
              <w:rPr>
                <w:color w:val="000000"/>
                <w:lang w:val="es-ES" w:eastAsia="es-ES"/>
              </w:rPr>
              <w:t>70% - 79%</w:t>
            </w:r>
          </w:p>
        </w:tc>
        <w:tc>
          <w:tcPr>
            <w:tcW w:w="6945" w:type="dxa"/>
          </w:tcPr>
          <w:p w14:paraId="3639AD5D" w14:textId="77777777" w:rsidR="007632F7" w:rsidRPr="001B2F8D" w:rsidRDefault="007632F7" w:rsidP="00421835">
            <w:pPr>
              <w:ind w:left="450"/>
              <w:jc w:val="both"/>
              <w:rPr>
                <w:color w:val="000000"/>
                <w:lang w:val="es-ES" w:eastAsia="es-ES"/>
              </w:rPr>
            </w:pPr>
            <w:r w:rsidRPr="001B2F8D">
              <w:rPr>
                <w:color w:val="000000"/>
                <w:lang w:val="es-ES" w:eastAsia="es-ES"/>
              </w:rPr>
              <w:t>Nivel de Ejecución Inadecuado-Cumplimiento parcial de las metas del trimestre.</w:t>
            </w:r>
          </w:p>
        </w:tc>
      </w:tr>
      <w:tr w:rsidR="007632F7" w:rsidRPr="00C740BC" w14:paraId="0BF05882" w14:textId="77777777" w:rsidTr="00421835">
        <w:tc>
          <w:tcPr>
            <w:tcW w:w="2268" w:type="dxa"/>
            <w:shd w:val="clear" w:color="auto" w:fill="FF0000"/>
          </w:tcPr>
          <w:p w14:paraId="27D1B025" w14:textId="77777777" w:rsidR="007632F7" w:rsidRPr="001B2F8D" w:rsidRDefault="007632F7" w:rsidP="00421835">
            <w:pPr>
              <w:ind w:left="450"/>
              <w:jc w:val="both"/>
              <w:rPr>
                <w:color w:val="000000"/>
                <w:lang w:val="es-ES" w:eastAsia="es-ES"/>
              </w:rPr>
            </w:pPr>
            <w:r w:rsidRPr="001B2F8D">
              <w:rPr>
                <w:color w:val="000000"/>
                <w:lang w:val="es-ES" w:eastAsia="es-ES"/>
              </w:rPr>
              <w:t>0% - 69%</w:t>
            </w:r>
          </w:p>
        </w:tc>
        <w:tc>
          <w:tcPr>
            <w:tcW w:w="6945" w:type="dxa"/>
          </w:tcPr>
          <w:p w14:paraId="325F453F" w14:textId="77777777" w:rsidR="007632F7" w:rsidRPr="001B2F8D" w:rsidRDefault="007632F7" w:rsidP="00421835">
            <w:pPr>
              <w:ind w:left="450"/>
              <w:jc w:val="both"/>
              <w:rPr>
                <w:color w:val="000000"/>
                <w:lang w:val="es-ES" w:eastAsia="es-ES"/>
              </w:rPr>
            </w:pPr>
            <w:r w:rsidRPr="001B2F8D">
              <w:rPr>
                <w:color w:val="000000"/>
                <w:lang w:val="es-ES" w:eastAsia="es-ES"/>
              </w:rPr>
              <w:t>Nivel de Ejecución Deficiente – Cumplimiento no realizado o pendientes</w:t>
            </w:r>
          </w:p>
        </w:tc>
      </w:tr>
    </w:tbl>
    <w:p w14:paraId="1E8025CE" w14:textId="77777777" w:rsidR="007632F7" w:rsidRDefault="007632F7" w:rsidP="007632F7">
      <w:pPr>
        <w:spacing w:after="0" w:line="240" w:lineRule="auto"/>
        <w:rPr>
          <w:rFonts w:ascii="Calibri" w:eastAsia="MS Mincho" w:hAnsi="Calibri" w:cs="Times New Roman"/>
          <w:kern w:val="0"/>
          <w:sz w:val="24"/>
          <w:szCs w:val="24"/>
          <w:lang w:val="es-ES"/>
          <w14:ligatures w14:val="none"/>
        </w:rPr>
      </w:pPr>
    </w:p>
    <w:p w14:paraId="35371A9E" w14:textId="352CCE33" w:rsidR="007632F7" w:rsidRPr="00090087" w:rsidRDefault="007632F7" w:rsidP="008915B9">
      <w:pPr>
        <w:pBdr>
          <w:top w:val="single" w:sz="4" w:space="1" w:color="auto"/>
          <w:left w:val="single" w:sz="4" w:space="0" w:color="auto"/>
          <w:bottom w:val="single" w:sz="4" w:space="1" w:color="auto"/>
          <w:right w:val="single" w:sz="4" w:space="0" w:color="auto"/>
          <w:between w:val="single" w:sz="4" w:space="1" w:color="auto"/>
          <w:bar w:val="single" w:sz="4" w:color="auto"/>
        </w:pBdr>
        <w:suppressAutoHyphens/>
        <w:autoSpaceDN w:val="0"/>
        <w:spacing w:after="0" w:line="276" w:lineRule="auto"/>
        <w:ind w:right="49"/>
        <w:jc w:val="both"/>
        <w:rPr>
          <w:rFonts w:ascii="Calibri" w:eastAsia="MS Mincho" w:hAnsi="Calibri" w:cs="Times New Roman"/>
          <w:b/>
          <w:color w:val="002060"/>
          <w:kern w:val="0"/>
          <w:sz w:val="25"/>
          <w:szCs w:val="25"/>
          <w:lang w:val="es-ES"/>
          <w14:ligatures w14:val="none"/>
        </w:rPr>
      </w:pPr>
      <w:r w:rsidRPr="00090087">
        <w:rPr>
          <w:rFonts w:ascii="Calibri" w:eastAsia="MS Mincho" w:hAnsi="Calibri" w:cs="Times New Roman"/>
          <w:b/>
          <w:color w:val="002060"/>
          <w:kern w:val="0"/>
          <w:sz w:val="25"/>
          <w:szCs w:val="25"/>
          <w:lang w:val="es-ES"/>
          <w14:ligatures w14:val="none"/>
        </w:rPr>
        <w:t>Nota:</w:t>
      </w:r>
      <w:r w:rsidRPr="007664C3">
        <w:rPr>
          <w:rFonts w:ascii="Calibri" w:eastAsia="MS Mincho" w:hAnsi="Calibri" w:cs="Times New Roman"/>
          <w:i/>
          <w:iCs/>
          <w:kern w:val="0"/>
          <w:sz w:val="24"/>
          <w:szCs w:val="24"/>
          <w:lang w:val="es-ES"/>
          <w14:ligatures w14:val="none"/>
        </w:rPr>
        <w:t xml:space="preserve">  l</w:t>
      </w:r>
      <w:r w:rsidRPr="00090087">
        <w:rPr>
          <w:rFonts w:ascii="Calibri" w:eastAsia="MS Mincho" w:hAnsi="Calibri" w:cs="Times New Roman"/>
          <w:i/>
          <w:iCs/>
          <w:kern w:val="0"/>
          <w:sz w:val="24"/>
          <w:szCs w:val="24"/>
          <w:lang w:val="es-ES"/>
          <w14:ligatures w14:val="none"/>
        </w:rPr>
        <w:t xml:space="preserve">os gráficos mostrados más abajo, en encontrarán las barras de los porcentajes de cada indicador y como se encuentra actualmente el producto, mientras que la primera barra de color </w:t>
      </w:r>
      <w:r w:rsidRPr="00090087">
        <w:rPr>
          <w:rFonts w:ascii="Calibri" w:eastAsia="MS Mincho" w:hAnsi="Calibri" w:cs="Times New Roman"/>
          <w:b/>
          <w:bCs/>
          <w:i/>
          <w:iCs/>
          <w:color w:val="385623" w:themeColor="accent6" w:themeShade="80"/>
          <w:kern w:val="0"/>
          <w:sz w:val="30"/>
          <w:szCs w:val="30"/>
          <w:lang w:val="es-ES"/>
          <w14:ligatures w14:val="none"/>
        </w:rPr>
        <w:t>verde</w:t>
      </w:r>
      <w:r w:rsidRPr="00090087">
        <w:rPr>
          <w:rFonts w:ascii="Calibri" w:eastAsia="MS Mincho" w:hAnsi="Calibri" w:cs="Times New Roman"/>
          <w:i/>
          <w:iCs/>
          <w:kern w:val="0"/>
          <w:sz w:val="24"/>
          <w:szCs w:val="24"/>
          <w:lang w:val="es-ES"/>
          <w14:ligatures w14:val="none"/>
        </w:rPr>
        <w:t xml:space="preserve"> es lo equivalente al 100% de lo logrado en este trimestre y si la vemos color </w:t>
      </w:r>
      <w:r w:rsidRPr="00090087">
        <w:rPr>
          <w:rFonts w:ascii="Calibri" w:eastAsia="MS Mincho" w:hAnsi="Calibri" w:cs="Times New Roman"/>
          <w:b/>
          <w:bCs/>
          <w:i/>
          <w:iCs/>
          <w:color w:val="FF0000"/>
          <w:kern w:val="0"/>
          <w:sz w:val="26"/>
          <w:szCs w:val="26"/>
          <w:lang w:val="es-ES"/>
          <w14:ligatures w14:val="none"/>
        </w:rPr>
        <w:t>rojo</w:t>
      </w:r>
      <w:r w:rsidRPr="00090087">
        <w:rPr>
          <w:rFonts w:ascii="Calibri" w:eastAsia="MS Mincho" w:hAnsi="Calibri" w:cs="Times New Roman"/>
          <w:i/>
          <w:iCs/>
          <w:kern w:val="0"/>
          <w:sz w:val="24"/>
          <w:szCs w:val="24"/>
          <w:lang w:val="es-ES"/>
          <w14:ligatures w14:val="none"/>
        </w:rPr>
        <w:t xml:space="preserve"> es que no cumplió el mismo.</w:t>
      </w:r>
    </w:p>
    <w:p w14:paraId="1E04DD84" w14:textId="77777777" w:rsidR="007632F7" w:rsidRDefault="007632F7" w:rsidP="007632F7">
      <w:pPr>
        <w:rPr>
          <w:rFonts w:ascii="Calibri" w:eastAsia="MS Mincho" w:hAnsi="Calibri" w:cs="Times New Roman"/>
          <w:sz w:val="24"/>
          <w:szCs w:val="24"/>
          <w:lang w:val="es-ES"/>
        </w:rPr>
      </w:pPr>
    </w:p>
    <w:p w14:paraId="3BB2DAAF" w14:textId="77777777" w:rsidR="007632F7" w:rsidRDefault="007632F7" w:rsidP="007632F7">
      <w:pPr>
        <w:jc w:val="center"/>
        <w:rPr>
          <w:rFonts w:ascii="Calibri" w:eastAsia="MS Mincho" w:hAnsi="Calibri" w:cs="Times New Roman"/>
          <w:b/>
          <w:bCs/>
          <w:sz w:val="24"/>
          <w:szCs w:val="24"/>
          <w:lang w:val="es-ES"/>
        </w:rPr>
      </w:pPr>
    </w:p>
    <w:p w14:paraId="2750D2DD" w14:textId="04DEAF24" w:rsidR="0088686E" w:rsidRDefault="001B774F" w:rsidP="001B774F">
      <w:pPr>
        <w:rPr>
          <w:rFonts w:ascii="Calibri" w:eastAsia="MS Mincho" w:hAnsi="Calibri" w:cs="Times New Roman"/>
          <w:b/>
          <w:bCs/>
          <w:sz w:val="24"/>
          <w:szCs w:val="24"/>
          <w:lang w:val="es-ES"/>
        </w:rPr>
      </w:pPr>
      <w:r w:rsidRPr="003D356D">
        <w:rPr>
          <w:rFonts w:ascii="Calibri" w:eastAsia="MS Mincho" w:hAnsi="Calibri" w:cs="Times New Roman"/>
          <w:b/>
          <w:bCs/>
          <w:noProof/>
          <w:sz w:val="24"/>
          <w:szCs w:val="24"/>
          <w:lang w:val="es-ES" w:eastAsia="es-ES"/>
        </w:rPr>
        <w:drawing>
          <wp:inline distT="0" distB="0" distL="0" distR="0" wp14:anchorId="087D7867" wp14:editId="67DFEDFC">
            <wp:extent cx="1840568" cy="175260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867590" cy="1778330"/>
                    </a:xfrm>
                    <a:prstGeom prst="rect">
                      <a:avLst/>
                    </a:prstGeom>
                  </pic:spPr>
                </pic:pic>
              </a:graphicData>
            </a:graphic>
          </wp:inline>
        </w:drawing>
      </w:r>
      <w:r>
        <w:rPr>
          <w:rFonts w:ascii="Calibri" w:eastAsia="MS Mincho" w:hAnsi="Calibri" w:cs="Times New Roman"/>
          <w:b/>
          <w:bCs/>
          <w:sz w:val="24"/>
          <w:szCs w:val="24"/>
          <w:lang w:val="es-ES"/>
        </w:rPr>
        <w:t xml:space="preserve">           </w:t>
      </w:r>
      <w:r w:rsidRPr="001B774F">
        <w:rPr>
          <w:rFonts w:ascii="Calibri" w:eastAsia="MS Mincho" w:hAnsi="Calibri" w:cs="Times New Roman"/>
          <w:b/>
          <w:bCs/>
          <w:noProof/>
          <w:sz w:val="24"/>
          <w:szCs w:val="24"/>
          <w:lang w:val="es-ES" w:eastAsia="es-ES"/>
        </w:rPr>
        <w:drawing>
          <wp:inline distT="0" distB="0" distL="0" distR="0" wp14:anchorId="6DF1B465" wp14:editId="041CE60F">
            <wp:extent cx="2807494" cy="16573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829267" cy="1670203"/>
                    </a:xfrm>
                    <a:prstGeom prst="rect">
                      <a:avLst/>
                    </a:prstGeom>
                  </pic:spPr>
                </pic:pic>
              </a:graphicData>
            </a:graphic>
          </wp:inline>
        </w:drawing>
      </w:r>
    </w:p>
    <w:p w14:paraId="020B7A38" w14:textId="77777777" w:rsidR="0088686E" w:rsidRDefault="0088686E" w:rsidP="007632F7">
      <w:pPr>
        <w:jc w:val="center"/>
        <w:rPr>
          <w:rFonts w:ascii="Calibri" w:eastAsia="MS Mincho" w:hAnsi="Calibri" w:cs="Times New Roman"/>
          <w:b/>
          <w:bCs/>
          <w:sz w:val="24"/>
          <w:szCs w:val="24"/>
          <w:lang w:val="es-ES"/>
        </w:rPr>
      </w:pPr>
    </w:p>
    <w:p w14:paraId="2D48EF7B" w14:textId="77777777" w:rsidR="0088686E" w:rsidRDefault="0088686E" w:rsidP="007632F7">
      <w:pPr>
        <w:jc w:val="center"/>
        <w:rPr>
          <w:rFonts w:ascii="Calibri" w:eastAsia="MS Mincho" w:hAnsi="Calibri" w:cs="Times New Roman"/>
          <w:b/>
          <w:bCs/>
          <w:sz w:val="24"/>
          <w:szCs w:val="24"/>
          <w:lang w:val="es-ES"/>
        </w:rPr>
      </w:pPr>
    </w:p>
    <w:p w14:paraId="51FE9430" w14:textId="77777777" w:rsidR="0088686E" w:rsidRDefault="0088686E" w:rsidP="007632F7">
      <w:pPr>
        <w:jc w:val="center"/>
        <w:rPr>
          <w:rFonts w:ascii="Calibri" w:eastAsia="MS Mincho" w:hAnsi="Calibri" w:cs="Times New Roman"/>
          <w:b/>
          <w:bCs/>
          <w:sz w:val="24"/>
          <w:szCs w:val="24"/>
          <w:lang w:val="es-ES"/>
        </w:rPr>
      </w:pPr>
    </w:p>
    <w:p w14:paraId="2B47470B" w14:textId="77777777" w:rsidR="0088686E" w:rsidRDefault="0088686E" w:rsidP="007632F7">
      <w:pPr>
        <w:jc w:val="center"/>
        <w:rPr>
          <w:rFonts w:ascii="Calibri" w:eastAsia="MS Mincho" w:hAnsi="Calibri" w:cs="Times New Roman"/>
          <w:b/>
          <w:bCs/>
          <w:sz w:val="24"/>
          <w:szCs w:val="24"/>
          <w:lang w:val="es-ES"/>
        </w:rPr>
      </w:pPr>
    </w:p>
    <w:p w14:paraId="28903238" w14:textId="77777777" w:rsidR="0088686E" w:rsidRDefault="0088686E" w:rsidP="007632F7">
      <w:pPr>
        <w:jc w:val="center"/>
        <w:rPr>
          <w:rFonts w:ascii="Calibri" w:eastAsia="MS Mincho" w:hAnsi="Calibri" w:cs="Times New Roman"/>
          <w:b/>
          <w:bCs/>
          <w:sz w:val="24"/>
          <w:szCs w:val="24"/>
          <w:lang w:val="es-ES"/>
        </w:rPr>
      </w:pPr>
    </w:p>
    <w:p w14:paraId="5291D53C" w14:textId="1B8A78D7" w:rsidR="007632F7" w:rsidRDefault="0088686E" w:rsidP="003D356D">
      <w:pPr>
        <w:rPr>
          <w:rFonts w:ascii="Calibri" w:eastAsia="MS Mincho" w:hAnsi="Calibri" w:cs="Times New Roman"/>
          <w:b/>
          <w:bCs/>
          <w:sz w:val="24"/>
          <w:szCs w:val="24"/>
          <w:lang w:val="es-ES"/>
        </w:rPr>
        <w:sectPr w:rsidR="007632F7" w:rsidSect="008D5E06">
          <w:headerReference w:type="default" r:id="rId68"/>
          <w:pgSz w:w="12240" w:h="15840"/>
          <w:pgMar w:top="709" w:right="1701" w:bottom="993" w:left="1701" w:header="720" w:footer="720" w:gutter="0"/>
          <w:cols w:space="720"/>
          <w:titlePg/>
          <w:docGrid w:linePitch="360"/>
        </w:sectPr>
      </w:pPr>
      <w:r>
        <w:rPr>
          <w:rFonts w:ascii="Calibri" w:eastAsia="MS Mincho" w:hAnsi="Calibri" w:cs="Times New Roman"/>
          <w:b/>
          <w:bCs/>
          <w:sz w:val="24"/>
          <w:szCs w:val="24"/>
          <w:lang w:val="es-ES"/>
        </w:rPr>
        <w:lastRenderedPageBreak/>
        <w:tab/>
      </w:r>
      <w:r>
        <w:rPr>
          <w:rFonts w:ascii="Calibri" w:eastAsia="MS Mincho" w:hAnsi="Calibri" w:cs="Times New Roman"/>
          <w:b/>
          <w:bCs/>
          <w:sz w:val="24"/>
          <w:szCs w:val="24"/>
          <w:lang w:val="es-ES"/>
        </w:rPr>
        <w:tab/>
      </w:r>
      <w:r>
        <w:rPr>
          <w:rFonts w:ascii="Calibri" w:eastAsia="MS Mincho" w:hAnsi="Calibri" w:cs="Times New Roman"/>
          <w:b/>
          <w:bCs/>
          <w:sz w:val="24"/>
          <w:szCs w:val="24"/>
          <w:lang w:val="es-ES"/>
        </w:rPr>
        <w:tab/>
      </w:r>
      <w:r>
        <w:rPr>
          <w:rFonts w:ascii="Calibri" w:eastAsia="MS Mincho" w:hAnsi="Calibri" w:cs="Times New Roman"/>
          <w:b/>
          <w:bCs/>
          <w:sz w:val="24"/>
          <w:szCs w:val="24"/>
          <w:lang w:val="es-ES"/>
        </w:rPr>
        <w:tab/>
      </w:r>
      <w:r>
        <w:rPr>
          <w:rFonts w:ascii="Calibri" w:eastAsia="MS Mincho" w:hAnsi="Calibri" w:cs="Times New Roman"/>
          <w:b/>
          <w:bCs/>
          <w:sz w:val="24"/>
          <w:szCs w:val="24"/>
          <w:lang w:val="es-ES"/>
        </w:rPr>
        <w:tab/>
      </w:r>
      <w:r w:rsidR="001B774F" w:rsidRPr="00DF6241">
        <w:rPr>
          <w:noProof/>
          <w:lang w:val="es-ES" w:eastAsia="es-ES"/>
        </w:rPr>
        <w:drawing>
          <wp:inline distT="0" distB="0" distL="0" distR="0" wp14:anchorId="2E212A9E" wp14:editId="729D6722">
            <wp:extent cx="6086475" cy="7058025"/>
            <wp:effectExtent l="0" t="0" r="9525" b="9525"/>
            <wp:docPr id="10248841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99846" cy="7073530"/>
                    </a:xfrm>
                    <a:prstGeom prst="rect">
                      <a:avLst/>
                    </a:prstGeom>
                    <a:noFill/>
                    <a:ln>
                      <a:noFill/>
                    </a:ln>
                  </pic:spPr>
                </pic:pic>
              </a:graphicData>
            </a:graphic>
          </wp:inline>
        </w:drawing>
      </w:r>
    </w:p>
    <w:p w14:paraId="029E762B" w14:textId="4EBE08E0" w:rsidR="00C360DD" w:rsidRPr="00F3754D" w:rsidRDefault="00C360DD" w:rsidP="001B774F">
      <w:pPr>
        <w:ind w:right="-842"/>
        <w:rPr>
          <w:rFonts w:ascii="Calibri" w:eastAsia="MS Mincho" w:hAnsi="Calibri" w:cs="Times New Roman"/>
          <w:b/>
          <w:bCs/>
          <w:sz w:val="24"/>
          <w:szCs w:val="24"/>
          <w:lang w:val="es-ES"/>
        </w:rPr>
      </w:pPr>
    </w:p>
    <w:sectPr w:rsidR="00C360DD" w:rsidRPr="00F3754D" w:rsidSect="001B774F">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325A748" w14:textId="77777777" w:rsidR="005B0FD9" w:rsidRDefault="005B0FD9" w:rsidP="00662FEE">
      <w:pPr>
        <w:spacing w:after="0" w:line="240" w:lineRule="auto"/>
      </w:pPr>
      <w:r>
        <w:separator/>
      </w:r>
    </w:p>
  </w:endnote>
  <w:endnote w:type="continuationSeparator" w:id="0">
    <w:p w14:paraId="612A1194" w14:textId="77777777" w:rsidR="005B0FD9" w:rsidRDefault="005B0FD9" w:rsidP="00662F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Open Sans">
    <w:altName w:val="Arial"/>
    <w:charset w:val="00"/>
    <w:family w:val="swiss"/>
    <w:pitch w:val="variable"/>
    <w:sig w:usb0="00000001" w:usb1="4000205B" w:usb2="00000028"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7EA553B" w14:textId="77777777" w:rsidR="005B0FD9" w:rsidRDefault="005B0FD9" w:rsidP="00662FEE">
      <w:pPr>
        <w:spacing w:after="0" w:line="240" w:lineRule="auto"/>
      </w:pPr>
      <w:r>
        <w:separator/>
      </w:r>
    </w:p>
  </w:footnote>
  <w:footnote w:type="continuationSeparator" w:id="0">
    <w:p w14:paraId="5892ABED" w14:textId="77777777" w:rsidR="005B0FD9" w:rsidRDefault="005B0FD9" w:rsidP="00662FE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2B0140" w14:textId="77777777" w:rsidR="00D55D2C" w:rsidRDefault="00D55D2C">
    <w:pPr>
      <w:pStyle w:val="Encabezado"/>
      <w:rPr>
        <w:sz w:val="24"/>
        <w:szCs w:val="24"/>
        <w:lang w:val="es-ES"/>
      </w:rPr>
    </w:pPr>
    <w:r w:rsidRPr="00D55D2C">
      <w:rPr>
        <w:sz w:val="24"/>
        <w:szCs w:val="24"/>
        <w:lang w:val="es-ES"/>
      </w:rPr>
      <w:t xml:space="preserve">División de Formulación, Evaluación y Monitoreo de </w:t>
    </w:r>
  </w:p>
  <w:p w14:paraId="69C6D9AF" w14:textId="60AB3F52" w:rsidR="00D55D2C" w:rsidRPr="00D55D2C" w:rsidRDefault="00D55D2C">
    <w:pPr>
      <w:pStyle w:val="Encabezado"/>
      <w:rPr>
        <w:sz w:val="24"/>
        <w:szCs w:val="24"/>
        <w:lang w:val="es-ES"/>
      </w:rPr>
    </w:pPr>
    <w:r w:rsidRPr="00D55D2C">
      <w:rPr>
        <w:sz w:val="24"/>
        <w:szCs w:val="24"/>
        <w:lang w:val="es-ES"/>
      </w:rPr>
      <w:t>Planes, Programas y Proyectos</w:t>
    </w:r>
    <w:r>
      <w:rPr>
        <w:sz w:val="24"/>
        <w:szCs w:val="24"/>
        <w:lang w:val="es-ES"/>
      </w:rP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E301B8"/>
    <w:multiLevelType w:val="multilevel"/>
    <w:tmpl w:val="7B4C831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D3312A2"/>
    <w:multiLevelType w:val="hybridMultilevel"/>
    <w:tmpl w:val="C3122686"/>
    <w:lvl w:ilvl="0" w:tplc="9294C130">
      <w:start w:val="7"/>
      <w:numFmt w:val="decimalZero"/>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13A43AAD"/>
    <w:multiLevelType w:val="multilevel"/>
    <w:tmpl w:val="7E2AA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8966247"/>
    <w:multiLevelType w:val="hybridMultilevel"/>
    <w:tmpl w:val="2F1A81A8"/>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1EF8484E"/>
    <w:multiLevelType w:val="multilevel"/>
    <w:tmpl w:val="2076BF46"/>
    <w:lvl w:ilvl="0">
      <w:numFmt w:val="bullet"/>
      <w:lvlText w:val=""/>
      <w:lvlJc w:val="left"/>
      <w:pPr>
        <w:ind w:left="777" w:hanging="360"/>
      </w:pPr>
      <w:rPr>
        <w:rFonts w:ascii="Wingdings" w:hAnsi="Wingdings"/>
      </w:rPr>
    </w:lvl>
    <w:lvl w:ilvl="1">
      <w:numFmt w:val="bullet"/>
      <w:lvlText w:val="o"/>
      <w:lvlJc w:val="left"/>
      <w:pPr>
        <w:ind w:left="1497" w:hanging="360"/>
      </w:pPr>
      <w:rPr>
        <w:rFonts w:ascii="Courier New" w:hAnsi="Courier New" w:cs="Courier New"/>
      </w:rPr>
    </w:lvl>
    <w:lvl w:ilvl="2">
      <w:numFmt w:val="bullet"/>
      <w:lvlText w:val=""/>
      <w:lvlJc w:val="left"/>
      <w:pPr>
        <w:ind w:left="2217" w:hanging="360"/>
      </w:pPr>
      <w:rPr>
        <w:rFonts w:ascii="Wingdings" w:hAnsi="Wingdings"/>
      </w:rPr>
    </w:lvl>
    <w:lvl w:ilvl="3">
      <w:numFmt w:val="bullet"/>
      <w:lvlText w:val=""/>
      <w:lvlJc w:val="left"/>
      <w:pPr>
        <w:ind w:left="2937" w:hanging="360"/>
      </w:pPr>
      <w:rPr>
        <w:rFonts w:ascii="Symbol" w:hAnsi="Symbol"/>
      </w:rPr>
    </w:lvl>
    <w:lvl w:ilvl="4">
      <w:numFmt w:val="bullet"/>
      <w:lvlText w:val="o"/>
      <w:lvlJc w:val="left"/>
      <w:pPr>
        <w:ind w:left="3657" w:hanging="360"/>
      </w:pPr>
      <w:rPr>
        <w:rFonts w:ascii="Courier New" w:hAnsi="Courier New" w:cs="Courier New"/>
      </w:rPr>
    </w:lvl>
    <w:lvl w:ilvl="5">
      <w:numFmt w:val="bullet"/>
      <w:lvlText w:val=""/>
      <w:lvlJc w:val="left"/>
      <w:pPr>
        <w:ind w:left="4377" w:hanging="360"/>
      </w:pPr>
      <w:rPr>
        <w:rFonts w:ascii="Wingdings" w:hAnsi="Wingdings"/>
      </w:rPr>
    </w:lvl>
    <w:lvl w:ilvl="6">
      <w:numFmt w:val="bullet"/>
      <w:lvlText w:val=""/>
      <w:lvlJc w:val="left"/>
      <w:pPr>
        <w:ind w:left="5097" w:hanging="360"/>
      </w:pPr>
      <w:rPr>
        <w:rFonts w:ascii="Symbol" w:hAnsi="Symbol"/>
      </w:rPr>
    </w:lvl>
    <w:lvl w:ilvl="7">
      <w:numFmt w:val="bullet"/>
      <w:lvlText w:val="o"/>
      <w:lvlJc w:val="left"/>
      <w:pPr>
        <w:ind w:left="5817" w:hanging="360"/>
      </w:pPr>
      <w:rPr>
        <w:rFonts w:ascii="Courier New" w:hAnsi="Courier New" w:cs="Courier New"/>
      </w:rPr>
    </w:lvl>
    <w:lvl w:ilvl="8">
      <w:numFmt w:val="bullet"/>
      <w:lvlText w:val=""/>
      <w:lvlJc w:val="left"/>
      <w:pPr>
        <w:ind w:left="6537" w:hanging="360"/>
      </w:pPr>
      <w:rPr>
        <w:rFonts w:ascii="Wingdings" w:hAnsi="Wingdings"/>
      </w:rPr>
    </w:lvl>
  </w:abstractNum>
  <w:abstractNum w:abstractNumId="5">
    <w:nsid w:val="283C3DBB"/>
    <w:multiLevelType w:val="hybridMultilevel"/>
    <w:tmpl w:val="FDD0BB9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3D940489"/>
    <w:multiLevelType w:val="multilevel"/>
    <w:tmpl w:val="44CE0B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E823F9C"/>
    <w:multiLevelType w:val="hybridMultilevel"/>
    <w:tmpl w:val="F590592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43487203"/>
    <w:multiLevelType w:val="hybridMultilevel"/>
    <w:tmpl w:val="6150A6A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3F84F8E"/>
    <w:multiLevelType w:val="hybridMultilevel"/>
    <w:tmpl w:val="93DCDCCE"/>
    <w:lvl w:ilvl="0" w:tplc="5ED0EBDA">
      <w:start w:val="1"/>
      <w:numFmt w:val="decimal"/>
      <w:lvlText w:val="%1."/>
      <w:lvlJc w:val="left"/>
      <w:pPr>
        <w:ind w:left="1086" w:hanging="355"/>
        <w:jc w:val="right"/>
      </w:pPr>
      <w:rPr>
        <w:rFonts w:hint="default"/>
        <w:b/>
        <w:bCs/>
        <w:w w:val="88"/>
        <w:lang w:val="es-ES" w:eastAsia="en-US" w:bidi="ar-SA"/>
      </w:rPr>
    </w:lvl>
    <w:lvl w:ilvl="1" w:tplc="C0BC9A0A">
      <w:numFmt w:val="bullet"/>
      <w:lvlText w:val="•"/>
      <w:lvlJc w:val="left"/>
      <w:pPr>
        <w:ind w:left="2046" w:hanging="355"/>
      </w:pPr>
      <w:rPr>
        <w:rFonts w:hint="default"/>
        <w:lang w:val="es-ES" w:eastAsia="en-US" w:bidi="ar-SA"/>
      </w:rPr>
    </w:lvl>
    <w:lvl w:ilvl="2" w:tplc="0292DEBA">
      <w:numFmt w:val="bullet"/>
      <w:lvlText w:val="•"/>
      <w:lvlJc w:val="left"/>
      <w:pPr>
        <w:ind w:left="3012" w:hanging="355"/>
      </w:pPr>
      <w:rPr>
        <w:rFonts w:hint="default"/>
        <w:lang w:val="es-ES" w:eastAsia="en-US" w:bidi="ar-SA"/>
      </w:rPr>
    </w:lvl>
    <w:lvl w:ilvl="3" w:tplc="1E3AD7E8">
      <w:numFmt w:val="bullet"/>
      <w:lvlText w:val="•"/>
      <w:lvlJc w:val="left"/>
      <w:pPr>
        <w:ind w:left="3978" w:hanging="355"/>
      </w:pPr>
      <w:rPr>
        <w:rFonts w:hint="default"/>
        <w:lang w:val="es-ES" w:eastAsia="en-US" w:bidi="ar-SA"/>
      </w:rPr>
    </w:lvl>
    <w:lvl w:ilvl="4" w:tplc="576635CA">
      <w:numFmt w:val="bullet"/>
      <w:lvlText w:val="•"/>
      <w:lvlJc w:val="left"/>
      <w:pPr>
        <w:ind w:left="4944" w:hanging="355"/>
      </w:pPr>
      <w:rPr>
        <w:rFonts w:hint="default"/>
        <w:lang w:val="es-ES" w:eastAsia="en-US" w:bidi="ar-SA"/>
      </w:rPr>
    </w:lvl>
    <w:lvl w:ilvl="5" w:tplc="F2A06ABC">
      <w:numFmt w:val="bullet"/>
      <w:lvlText w:val="•"/>
      <w:lvlJc w:val="left"/>
      <w:pPr>
        <w:ind w:left="5910" w:hanging="355"/>
      </w:pPr>
      <w:rPr>
        <w:rFonts w:hint="default"/>
        <w:lang w:val="es-ES" w:eastAsia="en-US" w:bidi="ar-SA"/>
      </w:rPr>
    </w:lvl>
    <w:lvl w:ilvl="6" w:tplc="202EC54A">
      <w:numFmt w:val="bullet"/>
      <w:lvlText w:val="•"/>
      <w:lvlJc w:val="left"/>
      <w:pPr>
        <w:ind w:left="6876" w:hanging="355"/>
      </w:pPr>
      <w:rPr>
        <w:rFonts w:hint="default"/>
        <w:lang w:val="es-ES" w:eastAsia="en-US" w:bidi="ar-SA"/>
      </w:rPr>
    </w:lvl>
    <w:lvl w:ilvl="7" w:tplc="1C322F2E">
      <w:numFmt w:val="bullet"/>
      <w:lvlText w:val="•"/>
      <w:lvlJc w:val="left"/>
      <w:pPr>
        <w:ind w:left="7842" w:hanging="355"/>
      </w:pPr>
      <w:rPr>
        <w:rFonts w:hint="default"/>
        <w:lang w:val="es-ES" w:eastAsia="en-US" w:bidi="ar-SA"/>
      </w:rPr>
    </w:lvl>
    <w:lvl w:ilvl="8" w:tplc="3FFC2D3A">
      <w:numFmt w:val="bullet"/>
      <w:lvlText w:val="•"/>
      <w:lvlJc w:val="left"/>
      <w:pPr>
        <w:ind w:left="8808" w:hanging="355"/>
      </w:pPr>
      <w:rPr>
        <w:rFonts w:hint="default"/>
        <w:lang w:val="es-ES" w:eastAsia="en-US" w:bidi="ar-SA"/>
      </w:rPr>
    </w:lvl>
  </w:abstractNum>
  <w:abstractNum w:abstractNumId="10">
    <w:nsid w:val="477A65A2"/>
    <w:multiLevelType w:val="hybridMultilevel"/>
    <w:tmpl w:val="5418B550"/>
    <w:lvl w:ilvl="0" w:tplc="F794914A">
      <w:start w:val="24"/>
      <w:numFmt w:val="decimal"/>
      <w:lvlText w:val="%1"/>
      <w:lvlJc w:val="left"/>
      <w:pPr>
        <w:ind w:left="1857" w:hanging="360"/>
      </w:pPr>
      <w:rPr>
        <w:rFonts w:hint="default"/>
      </w:rPr>
    </w:lvl>
    <w:lvl w:ilvl="1" w:tplc="04090019" w:tentative="1">
      <w:start w:val="1"/>
      <w:numFmt w:val="lowerLetter"/>
      <w:lvlText w:val="%2."/>
      <w:lvlJc w:val="left"/>
      <w:pPr>
        <w:ind w:left="2577" w:hanging="360"/>
      </w:pPr>
    </w:lvl>
    <w:lvl w:ilvl="2" w:tplc="0409001B" w:tentative="1">
      <w:start w:val="1"/>
      <w:numFmt w:val="lowerRoman"/>
      <w:lvlText w:val="%3."/>
      <w:lvlJc w:val="right"/>
      <w:pPr>
        <w:ind w:left="3297" w:hanging="180"/>
      </w:pPr>
    </w:lvl>
    <w:lvl w:ilvl="3" w:tplc="0409000F" w:tentative="1">
      <w:start w:val="1"/>
      <w:numFmt w:val="decimal"/>
      <w:lvlText w:val="%4."/>
      <w:lvlJc w:val="left"/>
      <w:pPr>
        <w:ind w:left="4017" w:hanging="360"/>
      </w:pPr>
    </w:lvl>
    <w:lvl w:ilvl="4" w:tplc="04090019" w:tentative="1">
      <w:start w:val="1"/>
      <w:numFmt w:val="lowerLetter"/>
      <w:lvlText w:val="%5."/>
      <w:lvlJc w:val="left"/>
      <w:pPr>
        <w:ind w:left="4737" w:hanging="360"/>
      </w:pPr>
    </w:lvl>
    <w:lvl w:ilvl="5" w:tplc="0409001B" w:tentative="1">
      <w:start w:val="1"/>
      <w:numFmt w:val="lowerRoman"/>
      <w:lvlText w:val="%6."/>
      <w:lvlJc w:val="right"/>
      <w:pPr>
        <w:ind w:left="5457" w:hanging="180"/>
      </w:pPr>
    </w:lvl>
    <w:lvl w:ilvl="6" w:tplc="0409000F" w:tentative="1">
      <w:start w:val="1"/>
      <w:numFmt w:val="decimal"/>
      <w:lvlText w:val="%7."/>
      <w:lvlJc w:val="left"/>
      <w:pPr>
        <w:ind w:left="6177" w:hanging="360"/>
      </w:pPr>
    </w:lvl>
    <w:lvl w:ilvl="7" w:tplc="04090019" w:tentative="1">
      <w:start w:val="1"/>
      <w:numFmt w:val="lowerLetter"/>
      <w:lvlText w:val="%8."/>
      <w:lvlJc w:val="left"/>
      <w:pPr>
        <w:ind w:left="6897" w:hanging="360"/>
      </w:pPr>
    </w:lvl>
    <w:lvl w:ilvl="8" w:tplc="0409001B" w:tentative="1">
      <w:start w:val="1"/>
      <w:numFmt w:val="lowerRoman"/>
      <w:lvlText w:val="%9."/>
      <w:lvlJc w:val="right"/>
      <w:pPr>
        <w:ind w:left="7617" w:hanging="180"/>
      </w:pPr>
    </w:lvl>
  </w:abstractNum>
  <w:abstractNum w:abstractNumId="11">
    <w:nsid w:val="50EA55AA"/>
    <w:multiLevelType w:val="hybridMultilevel"/>
    <w:tmpl w:val="4808C1B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56DB6854"/>
    <w:multiLevelType w:val="multilevel"/>
    <w:tmpl w:val="81EE21CE"/>
    <w:lvl w:ilvl="0">
      <w:start w:val="1"/>
      <w:numFmt w:val="bullet"/>
      <w:lvlText w:val=""/>
      <w:lvlJc w:val="left"/>
      <w:pPr>
        <w:ind w:left="720" w:hanging="360"/>
      </w:pPr>
      <w:rPr>
        <w:rFonts w:ascii="Wingdings" w:hAnsi="Wingdings"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
    <w:nsid w:val="6A5B0492"/>
    <w:multiLevelType w:val="multilevel"/>
    <w:tmpl w:val="97D6847C"/>
    <w:lvl w:ilvl="0">
      <w:start w:val="1"/>
      <w:numFmt w:val="bullet"/>
      <w:lvlText w:val=""/>
      <w:lvlJc w:val="left"/>
      <w:pPr>
        <w:ind w:left="720" w:hanging="360"/>
      </w:pPr>
      <w:rPr>
        <w:rFonts w:ascii="Wingdings" w:hAnsi="Wingdings"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abstractNumId w:val="9"/>
  </w:num>
  <w:num w:numId="2">
    <w:abstractNumId w:val="10"/>
  </w:num>
  <w:num w:numId="3">
    <w:abstractNumId w:val="4"/>
  </w:num>
  <w:num w:numId="4">
    <w:abstractNumId w:val="11"/>
  </w:num>
  <w:num w:numId="5">
    <w:abstractNumId w:val="5"/>
  </w:num>
  <w:num w:numId="6">
    <w:abstractNumId w:val="13"/>
  </w:num>
  <w:num w:numId="7">
    <w:abstractNumId w:val="3"/>
  </w:num>
  <w:num w:numId="8">
    <w:abstractNumId w:val="8"/>
  </w:num>
  <w:num w:numId="9">
    <w:abstractNumId w:val="2"/>
  </w:num>
  <w:num w:numId="10">
    <w:abstractNumId w:val="0"/>
  </w:num>
  <w:num w:numId="11">
    <w:abstractNumId w:val="6"/>
  </w:num>
  <w:num w:numId="12">
    <w:abstractNumId w:val="1"/>
  </w:num>
  <w:num w:numId="13">
    <w:abstractNumId w:val="7"/>
  </w:num>
  <w:num w:numId="1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7326"/>
    <w:rsid w:val="00020A83"/>
    <w:rsid w:val="00022526"/>
    <w:rsid w:val="00032C7D"/>
    <w:rsid w:val="0004184C"/>
    <w:rsid w:val="00090087"/>
    <w:rsid w:val="00094032"/>
    <w:rsid w:val="000A7393"/>
    <w:rsid w:val="000C4664"/>
    <w:rsid w:val="000C7326"/>
    <w:rsid w:val="000F630D"/>
    <w:rsid w:val="00101824"/>
    <w:rsid w:val="00106E1E"/>
    <w:rsid w:val="00191018"/>
    <w:rsid w:val="001A6657"/>
    <w:rsid w:val="001B774F"/>
    <w:rsid w:val="001D1C15"/>
    <w:rsid w:val="0021500E"/>
    <w:rsid w:val="00216BEE"/>
    <w:rsid w:val="00263EC1"/>
    <w:rsid w:val="00272EB6"/>
    <w:rsid w:val="0027332F"/>
    <w:rsid w:val="00283820"/>
    <w:rsid w:val="0028633F"/>
    <w:rsid w:val="002A0732"/>
    <w:rsid w:val="002A6399"/>
    <w:rsid w:val="002A77F5"/>
    <w:rsid w:val="002D57E0"/>
    <w:rsid w:val="002E3B0E"/>
    <w:rsid w:val="003143E3"/>
    <w:rsid w:val="003262CB"/>
    <w:rsid w:val="0034118D"/>
    <w:rsid w:val="00377A94"/>
    <w:rsid w:val="00385438"/>
    <w:rsid w:val="00396573"/>
    <w:rsid w:val="003B54F2"/>
    <w:rsid w:val="003D0E69"/>
    <w:rsid w:val="003D356D"/>
    <w:rsid w:val="003E3CF5"/>
    <w:rsid w:val="003E69B9"/>
    <w:rsid w:val="003F289B"/>
    <w:rsid w:val="003F56E2"/>
    <w:rsid w:val="00401BE1"/>
    <w:rsid w:val="004225D9"/>
    <w:rsid w:val="00455D79"/>
    <w:rsid w:val="0047264A"/>
    <w:rsid w:val="004A7238"/>
    <w:rsid w:val="005063AF"/>
    <w:rsid w:val="00533182"/>
    <w:rsid w:val="0053693A"/>
    <w:rsid w:val="0054321E"/>
    <w:rsid w:val="00563B58"/>
    <w:rsid w:val="00580D81"/>
    <w:rsid w:val="005904DE"/>
    <w:rsid w:val="00594F3F"/>
    <w:rsid w:val="00597B24"/>
    <w:rsid w:val="005A1627"/>
    <w:rsid w:val="005B0FD9"/>
    <w:rsid w:val="005C7FA3"/>
    <w:rsid w:val="005E4D9B"/>
    <w:rsid w:val="00604B92"/>
    <w:rsid w:val="00611E61"/>
    <w:rsid w:val="00647B71"/>
    <w:rsid w:val="00655D17"/>
    <w:rsid w:val="00662FEE"/>
    <w:rsid w:val="00664CDD"/>
    <w:rsid w:val="006709A4"/>
    <w:rsid w:val="007006BD"/>
    <w:rsid w:val="00702354"/>
    <w:rsid w:val="0071008B"/>
    <w:rsid w:val="0071593E"/>
    <w:rsid w:val="00716025"/>
    <w:rsid w:val="007632F7"/>
    <w:rsid w:val="007664C3"/>
    <w:rsid w:val="00792D0B"/>
    <w:rsid w:val="007B43E6"/>
    <w:rsid w:val="007D0578"/>
    <w:rsid w:val="007D7AD6"/>
    <w:rsid w:val="007E18F8"/>
    <w:rsid w:val="007F3090"/>
    <w:rsid w:val="00804675"/>
    <w:rsid w:val="00814B93"/>
    <w:rsid w:val="00823A14"/>
    <w:rsid w:val="00826BF9"/>
    <w:rsid w:val="008274FC"/>
    <w:rsid w:val="00844BA7"/>
    <w:rsid w:val="008457B2"/>
    <w:rsid w:val="00882A37"/>
    <w:rsid w:val="0088686E"/>
    <w:rsid w:val="00887B8D"/>
    <w:rsid w:val="008915B9"/>
    <w:rsid w:val="008A0860"/>
    <w:rsid w:val="008D5E06"/>
    <w:rsid w:val="008E1570"/>
    <w:rsid w:val="008F7462"/>
    <w:rsid w:val="00930825"/>
    <w:rsid w:val="0093213F"/>
    <w:rsid w:val="0093257C"/>
    <w:rsid w:val="00940F18"/>
    <w:rsid w:val="00973405"/>
    <w:rsid w:val="00996205"/>
    <w:rsid w:val="009A05AE"/>
    <w:rsid w:val="009A6DD0"/>
    <w:rsid w:val="009E7D41"/>
    <w:rsid w:val="009F4315"/>
    <w:rsid w:val="009F5414"/>
    <w:rsid w:val="009F6541"/>
    <w:rsid w:val="009F6BC6"/>
    <w:rsid w:val="00A21462"/>
    <w:rsid w:val="00A25FF8"/>
    <w:rsid w:val="00A6070B"/>
    <w:rsid w:val="00A81EDA"/>
    <w:rsid w:val="00AD21A6"/>
    <w:rsid w:val="00AD5989"/>
    <w:rsid w:val="00AE063B"/>
    <w:rsid w:val="00AE6147"/>
    <w:rsid w:val="00B1241B"/>
    <w:rsid w:val="00B35925"/>
    <w:rsid w:val="00B47544"/>
    <w:rsid w:val="00B5074A"/>
    <w:rsid w:val="00B6576A"/>
    <w:rsid w:val="00B70CE0"/>
    <w:rsid w:val="00B722FF"/>
    <w:rsid w:val="00B9183D"/>
    <w:rsid w:val="00B92405"/>
    <w:rsid w:val="00B94179"/>
    <w:rsid w:val="00B94710"/>
    <w:rsid w:val="00BB3680"/>
    <w:rsid w:val="00BB5D16"/>
    <w:rsid w:val="00BC6667"/>
    <w:rsid w:val="00BF36FE"/>
    <w:rsid w:val="00C05073"/>
    <w:rsid w:val="00C12A3F"/>
    <w:rsid w:val="00C218C8"/>
    <w:rsid w:val="00C360DD"/>
    <w:rsid w:val="00C410A9"/>
    <w:rsid w:val="00C417EB"/>
    <w:rsid w:val="00C50EBF"/>
    <w:rsid w:val="00C529A0"/>
    <w:rsid w:val="00C64286"/>
    <w:rsid w:val="00C7130F"/>
    <w:rsid w:val="00C740BC"/>
    <w:rsid w:val="00C838F0"/>
    <w:rsid w:val="00CA0D2D"/>
    <w:rsid w:val="00CA1C22"/>
    <w:rsid w:val="00CA6373"/>
    <w:rsid w:val="00CB0C73"/>
    <w:rsid w:val="00CB6C34"/>
    <w:rsid w:val="00CC7CED"/>
    <w:rsid w:val="00CD438F"/>
    <w:rsid w:val="00CF0020"/>
    <w:rsid w:val="00CF2A1F"/>
    <w:rsid w:val="00D12CEB"/>
    <w:rsid w:val="00D43077"/>
    <w:rsid w:val="00D53AA0"/>
    <w:rsid w:val="00D55D2C"/>
    <w:rsid w:val="00D656B2"/>
    <w:rsid w:val="00D6674D"/>
    <w:rsid w:val="00D82265"/>
    <w:rsid w:val="00D8476A"/>
    <w:rsid w:val="00D86151"/>
    <w:rsid w:val="00D92E32"/>
    <w:rsid w:val="00DA73C0"/>
    <w:rsid w:val="00DB5219"/>
    <w:rsid w:val="00DD5BC1"/>
    <w:rsid w:val="00DF6241"/>
    <w:rsid w:val="00E157BC"/>
    <w:rsid w:val="00E171F4"/>
    <w:rsid w:val="00E30AA6"/>
    <w:rsid w:val="00E41C4B"/>
    <w:rsid w:val="00E4714A"/>
    <w:rsid w:val="00E51AF8"/>
    <w:rsid w:val="00E55F43"/>
    <w:rsid w:val="00E76D7D"/>
    <w:rsid w:val="00EB278C"/>
    <w:rsid w:val="00EC2F6D"/>
    <w:rsid w:val="00EC51C9"/>
    <w:rsid w:val="00ED33D6"/>
    <w:rsid w:val="00EE4E66"/>
    <w:rsid w:val="00F051D3"/>
    <w:rsid w:val="00F3754D"/>
    <w:rsid w:val="00F71485"/>
    <w:rsid w:val="00F738DE"/>
    <w:rsid w:val="00FA3463"/>
    <w:rsid w:val="00FC56C3"/>
    <w:rsid w:val="035B5CB1"/>
    <w:rsid w:val="0579F527"/>
    <w:rsid w:val="1008C1ED"/>
    <w:rsid w:val="10AC9436"/>
    <w:rsid w:val="122851EA"/>
    <w:rsid w:val="13131DD9"/>
    <w:rsid w:val="17B24078"/>
    <w:rsid w:val="17B57E93"/>
    <w:rsid w:val="17EDD780"/>
    <w:rsid w:val="182766E8"/>
    <w:rsid w:val="1936CF46"/>
    <w:rsid w:val="198BCDDE"/>
    <w:rsid w:val="1C550564"/>
    <w:rsid w:val="1C67DB3C"/>
    <w:rsid w:val="1F157BC4"/>
    <w:rsid w:val="1FEFADAC"/>
    <w:rsid w:val="2559A307"/>
    <w:rsid w:val="28B5C55D"/>
    <w:rsid w:val="296ECA7C"/>
    <w:rsid w:val="297663FE"/>
    <w:rsid w:val="2A817E55"/>
    <w:rsid w:val="2AAB4FA8"/>
    <w:rsid w:val="2EF8CDE9"/>
    <w:rsid w:val="30D88766"/>
    <w:rsid w:val="320418B7"/>
    <w:rsid w:val="3476B66D"/>
    <w:rsid w:val="34B6ED7D"/>
    <w:rsid w:val="3528DB41"/>
    <w:rsid w:val="3735D43A"/>
    <w:rsid w:val="377D7E99"/>
    <w:rsid w:val="3C808E68"/>
    <w:rsid w:val="3F633E34"/>
    <w:rsid w:val="3FB856F9"/>
    <w:rsid w:val="432F9503"/>
    <w:rsid w:val="43D818C8"/>
    <w:rsid w:val="45314468"/>
    <w:rsid w:val="527B9CBA"/>
    <w:rsid w:val="53C69502"/>
    <w:rsid w:val="54BCC8B1"/>
    <w:rsid w:val="573D8985"/>
    <w:rsid w:val="579CA2D6"/>
    <w:rsid w:val="57F9C7E1"/>
    <w:rsid w:val="59722070"/>
    <w:rsid w:val="597C0DEA"/>
    <w:rsid w:val="5D4F039A"/>
    <w:rsid w:val="5ECF4E68"/>
    <w:rsid w:val="671A0F98"/>
    <w:rsid w:val="6A0CF763"/>
    <w:rsid w:val="6B8BB5B9"/>
    <w:rsid w:val="6C0CD1EC"/>
    <w:rsid w:val="6CB40E51"/>
    <w:rsid w:val="6E256C54"/>
    <w:rsid w:val="6FF913D7"/>
    <w:rsid w:val="704C4128"/>
    <w:rsid w:val="70EECAFF"/>
    <w:rsid w:val="73194B08"/>
    <w:rsid w:val="73955135"/>
    <w:rsid w:val="756E8E9E"/>
    <w:rsid w:val="78018033"/>
    <w:rsid w:val="79124D33"/>
    <w:rsid w:val="79A1E131"/>
    <w:rsid w:val="7A394F9F"/>
    <w:rsid w:val="7BB35018"/>
    <w:rsid w:val="7FBB76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1A9368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6">
    <w:name w:val="heading 6"/>
    <w:basedOn w:val="Normal"/>
    <w:link w:val="Ttulo6Car"/>
    <w:uiPriority w:val="9"/>
    <w:unhideWhenUsed/>
    <w:qFormat/>
    <w:rsid w:val="00B70CE0"/>
    <w:pPr>
      <w:widowControl w:val="0"/>
      <w:autoSpaceDE w:val="0"/>
      <w:autoSpaceDN w:val="0"/>
      <w:spacing w:before="116" w:after="0" w:line="240" w:lineRule="auto"/>
      <w:ind w:left="4033"/>
      <w:outlineLvl w:val="5"/>
    </w:pPr>
    <w:rPr>
      <w:rFonts w:ascii="Arial" w:eastAsia="Arial" w:hAnsi="Arial" w:cs="Arial"/>
      <w:b/>
      <w:bCs/>
      <w:kern w:val="0"/>
      <w:sz w:val="24"/>
      <w:szCs w:val="24"/>
      <w:lang w:val="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semiHidden/>
    <w:unhideWhenUsed/>
    <w:rsid w:val="00F051D3"/>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Textoindependiente">
    <w:name w:val="Body Text"/>
    <w:basedOn w:val="Normal"/>
    <w:link w:val="TextoindependienteCar"/>
    <w:uiPriority w:val="1"/>
    <w:qFormat/>
    <w:rsid w:val="00B70CE0"/>
    <w:pPr>
      <w:widowControl w:val="0"/>
      <w:autoSpaceDE w:val="0"/>
      <w:autoSpaceDN w:val="0"/>
      <w:spacing w:after="0" w:line="240" w:lineRule="auto"/>
    </w:pPr>
    <w:rPr>
      <w:rFonts w:ascii="Tahoma" w:eastAsia="Tahoma" w:hAnsi="Tahoma" w:cs="Tahoma"/>
      <w:kern w:val="0"/>
      <w:sz w:val="24"/>
      <w:szCs w:val="24"/>
      <w:lang w:val="es-ES"/>
      <w14:ligatures w14:val="none"/>
    </w:rPr>
  </w:style>
  <w:style w:type="character" w:customStyle="1" w:styleId="TextoindependienteCar">
    <w:name w:val="Texto independiente Car"/>
    <w:basedOn w:val="Fuentedeprrafopredeter"/>
    <w:link w:val="Textoindependiente"/>
    <w:uiPriority w:val="1"/>
    <w:rsid w:val="00B70CE0"/>
    <w:rPr>
      <w:rFonts w:ascii="Tahoma" w:eastAsia="Tahoma" w:hAnsi="Tahoma" w:cs="Tahoma"/>
      <w:kern w:val="0"/>
      <w:sz w:val="24"/>
      <w:szCs w:val="24"/>
      <w:lang w:val="es-ES"/>
      <w14:ligatures w14:val="none"/>
    </w:rPr>
  </w:style>
  <w:style w:type="character" w:customStyle="1" w:styleId="Ttulo6Car">
    <w:name w:val="Título 6 Car"/>
    <w:basedOn w:val="Fuentedeprrafopredeter"/>
    <w:link w:val="Ttulo6"/>
    <w:uiPriority w:val="9"/>
    <w:rsid w:val="00B70CE0"/>
    <w:rPr>
      <w:rFonts w:ascii="Arial" w:eastAsia="Arial" w:hAnsi="Arial" w:cs="Arial"/>
      <w:b/>
      <w:bCs/>
      <w:kern w:val="0"/>
      <w:sz w:val="24"/>
      <w:szCs w:val="24"/>
      <w:lang w:val="es-ES"/>
      <w14:ligatures w14:val="none"/>
    </w:rPr>
  </w:style>
  <w:style w:type="paragraph" w:styleId="Prrafodelista">
    <w:name w:val="List Paragraph"/>
    <w:basedOn w:val="Normal"/>
    <w:uiPriority w:val="34"/>
    <w:qFormat/>
    <w:rsid w:val="00B70CE0"/>
    <w:pPr>
      <w:ind w:left="720"/>
      <w:contextualSpacing/>
    </w:pPr>
  </w:style>
  <w:style w:type="table" w:styleId="Tablaconcuadrcula">
    <w:name w:val="Table Grid"/>
    <w:basedOn w:val="Tablanormal"/>
    <w:rsid w:val="00B9183D"/>
    <w:pPr>
      <w:spacing w:after="0" w:line="240" w:lineRule="auto"/>
    </w:pPr>
    <w:rPr>
      <w:rFonts w:ascii="Times New Roman" w:eastAsia="Times New Roman" w:hAnsi="Times New Roman" w:cs="Times New Roman"/>
      <w:kern w:val="0"/>
      <w:sz w:val="20"/>
      <w:szCs w:val="20"/>
      <w:lang w:val="es-DO" w:eastAsia="es-DO"/>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662FEE"/>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662FEE"/>
  </w:style>
  <w:style w:type="paragraph" w:styleId="Piedepgina">
    <w:name w:val="footer"/>
    <w:basedOn w:val="Normal"/>
    <w:link w:val="PiedepginaCar"/>
    <w:uiPriority w:val="99"/>
    <w:unhideWhenUsed/>
    <w:rsid w:val="00662FEE"/>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662FEE"/>
  </w:style>
  <w:style w:type="character" w:customStyle="1" w:styleId="font391">
    <w:name w:val="font391"/>
    <w:basedOn w:val="Fuentedeprrafopredeter"/>
    <w:rsid w:val="009E7D41"/>
    <w:rPr>
      <w:rFonts w:ascii="Times New Roman" w:hAnsi="Times New Roman" w:cs="Times New Roman" w:hint="default"/>
      <w:b/>
      <w:bCs/>
      <w:i w:val="0"/>
      <w:iCs w:val="0"/>
      <w:strike w:val="0"/>
      <w:dstrike w:val="0"/>
      <w:color w:val="000000"/>
      <w:sz w:val="23"/>
      <w:szCs w:val="23"/>
      <w:u w:val="none"/>
      <w:effect w:val="none"/>
    </w:rPr>
  </w:style>
  <w:style w:type="character" w:customStyle="1" w:styleId="font81">
    <w:name w:val="font81"/>
    <w:basedOn w:val="Fuentedeprrafopredeter"/>
    <w:rsid w:val="009E7D41"/>
    <w:rPr>
      <w:rFonts w:ascii="Times New Roman" w:hAnsi="Times New Roman" w:cs="Times New Roman" w:hint="default"/>
      <w:b/>
      <w:bCs/>
      <w:i w:val="0"/>
      <w:iCs w:val="0"/>
      <w:strike w:val="0"/>
      <w:dstrike w:val="0"/>
      <w:color w:val="000000"/>
      <w:sz w:val="24"/>
      <w:szCs w:val="24"/>
      <w:u w:val="none"/>
      <w:effect w:val="none"/>
    </w:rPr>
  </w:style>
  <w:style w:type="character" w:customStyle="1" w:styleId="font351">
    <w:name w:val="font351"/>
    <w:basedOn w:val="Fuentedeprrafopredeter"/>
    <w:rsid w:val="009E7D41"/>
    <w:rPr>
      <w:rFonts w:ascii="Times New Roman" w:hAnsi="Times New Roman" w:cs="Times New Roman" w:hint="default"/>
      <w:b/>
      <w:bCs/>
      <w:i w:val="0"/>
      <w:iCs w:val="0"/>
      <w:strike w:val="0"/>
      <w:dstrike w:val="0"/>
      <w:color w:val="000000"/>
      <w:sz w:val="18"/>
      <w:szCs w:val="18"/>
      <w:u w:val="none"/>
      <w:effect w:val="none"/>
    </w:rPr>
  </w:style>
  <w:style w:type="paragraph" w:styleId="Textodeglobo">
    <w:name w:val="Balloon Text"/>
    <w:basedOn w:val="Normal"/>
    <w:link w:val="TextodegloboCar"/>
    <w:uiPriority w:val="99"/>
    <w:semiHidden/>
    <w:unhideWhenUsed/>
    <w:rsid w:val="00C0507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05073"/>
    <w:rPr>
      <w:rFonts w:ascii="Tahoma" w:hAnsi="Tahoma" w:cs="Tahoma"/>
      <w:sz w:val="16"/>
      <w:szCs w:val="16"/>
    </w:rPr>
  </w:style>
  <w:style w:type="paragraph" w:styleId="Sinespaciado">
    <w:name w:val="No Spacing"/>
    <w:uiPriority w:val="1"/>
    <w:qFormat/>
    <w:rsid w:val="00C05073"/>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6">
    <w:name w:val="heading 6"/>
    <w:basedOn w:val="Normal"/>
    <w:link w:val="Ttulo6Car"/>
    <w:uiPriority w:val="9"/>
    <w:unhideWhenUsed/>
    <w:qFormat/>
    <w:rsid w:val="00B70CE0"/>
    <w:pPr>
      <w:widowControl w:val="0"/>
      <w:autoSpaceDE w:val="0"/>
      <w:autoSpaceDN w:val="0"/>
      <w:spacing w:before="116" w:after="0" w:line="240" w:lineRule="auto"/>
      <w:ind w:left="4033"/>
      <w:outlineLvl w:val="5"/>
    </w:pPr>
    <w:rPr>
      <w:rFonts w:ascii="Arial" w:eastAsia="Arial" w:hAnsi="Arial" w:cs="Arial"/>
      <w:b/>
      <w:bCs/>
      <w:kern w:val="0"/>
      <w:sz w:val="24"/>
      <w:szCs w:val="24"/>
      <w:lang w:val="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semiHidden/>
    <w:unhideWhenUsed/>
    <w:rsid w:val="00F051D3"/>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Textoindependiente">
    <w:name w:val="Body Text"/>
    <w:basedOn w:val="Normal"/>
    <w:link w:val="TextoindependienteCar"/>
    <w:uiPriority w:val="1"/>
    <w:qFormat/>
    <w:rsid w:val="00B70CE0"/>
    <w:pPr>
      <w:widowControl w:val="0"/>
      <w:autoSpaceDE w:val="0"/>
      <w:autoSpaceDN w:val="0"/>
      <w:spacing w:after="0" w:line="240" w:lineRule="auto"/>
    </w:pPr>
    <w:rPr>
      <w:rFonts w:ascii="Tahoma" w:eastAsia="Tahoma" w:hAnsi="Tahoma" w:cs="Tahoma"/>
      <w:kern w:val="0"/>
      <w:sz w:val="24"/>
      <w:szCs w:val="24"/>
      <w:lang w:val="es-ES"/>
      <w14:ligatures w14:val="none"/>
    </w:rPr>
  </w:style>
  <w:style w:type="character" w:customStyle="1" w:styleId="TextoindependienteCar">
    <w:name w:val="Texto independiente Car"/>
    <w:basedOn w:val="Fuentedeprrafopredeter"/>
    <w:link w:val="Textoindependiente"/>
    <w:uiPriority w:val="1"/>
    <w:rsid w:val="00B70CE0"/>
    <w:rPr>
      <w:rFonts w:ascii="Tahoma" w:eastAsia="Tahoma" w:hAnsi="Tahoma" w:cs="Tahoma"/>
      <w:kern w:val="0"/>
      <w:sz w:val="24"/>
      <w:szCs w:val="24"/>
      <w:lang w:val="es-ES"/>
      <w14:ligatures w14:val="none"/>
    </w:rPr>
  </w:style>
  <w:style w:type="character" w:customStyle="1" w:styleId="Ttulo6Car">
    <w:name w:val="Título 6 Car"/>
    <w:basedOn w:val="Fuentedeprrafopredeter"/>
    <w:link w:val="Ttulo6"/>
    <w:uiPriority w:val="9"/>
    <w:rsid w:val="00B70CE0"/>
    <w:rPr>
      <w:rFonts w:ascii="Arial" w:eastAsia="Arial" w:hAnsi="Arial" w:cs="Arial"/>
      <w:b/>
      <w:bCs/>
      <w:kern w:val="0"/>
      <w:sz w:val="24"/>
      <w:szCs w:val="24"/>
      <w:lang w:val="es-ES"/>
      <w14:ligatures w14:val="none"/>
    </w:rPr>
  </w:style>
  <w:style w:type="paragraph" w:styleId="Prrafodelista">
    <w:name w:val="List Paragraph"/>
    <w:basedOn w:val="Normal"/>
    <w:uiPriority w:val="34"/>
    <w:qFormat/>
    <w:rsid w:val="00B70CE0"/>
    <w:pPr>
      <w:ind w:left="720"/>
      <w:contextualSpacing/>
    </w:pPr>
  </w:style>
  <w:style w:type="table" w:styleId="Tablaconcuadrcula">
    <w:name w:val="Table Grid"/>
    <w:basedOn w:val="Tablanormal"/>
    <w:rsid w:val="00B9183D"/>
    <w:pPr>
      <w:spacing w:after="0" w:line="240" w:lineRule="auto"/>
    </w:pPr>
    <w:rPr>
      <w:rFonts w:ascii="Times New Roman" w:eastAsia="Times New Roman" w:hAnsi="Times New Roman" w:cs="Times New Roman"/>
      <w:kern w:val="0"/>
      <w:sz w:val="20"/>
      <w:szCs w:val="20"/>
      <w:lang w:val="es-DO" w:eastAsia="es-DO"/>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662FEE"/>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662FEE"/>
  </w:style>
  <w:style w:type="paragraph" w:styleId="Piedepgina">
    <w:name w:val="footer"/>
    <w:basedOn w:val="Normal"/>
    <w:link w:val="PiedepginaCar"/>
    <w:uiPriority w:val="99"/>
    <w:unhideWhenUsed/>
    <w:rsid w:val="00662FEE"/>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662FEE"/>
  </w:style>
  <w:style w:type="character" w:customStyle="1" w:styleId="font391">
    <w:name w:val="font391"/>
    <w:basedOn w:val="Fuentedeprrafopredeter"/>
    <w:rsid w:val="009E7D41"/>
    <w:rPr>
      <w:rFonts w:ascii="Times New Roman" w:hAnsi="Times New Roman" w:cs="Times New Roman" w:hint="default"/>
      <w:b/>
      <w:bCs/>
      <w:i w:val="0"/>
      <w:iCs w:val="0"/>
      <w:strike w:val="0"/>
      <w:dstrike w:val="0"/>
      <w:color w:val="000000"/>
      <w:sz w:val="23"/>
      <w:szCs w:val="23"/>
      <w:u w:val="none"/>
      <w:effect w:val="none"/>
    </w:rPr>
  </w:style>
  <w:style w:type="character" w:customStyle="1" w:styleId="font81">
    <w:name w:val="font81"/>
    <w:basedOn w:val="Fuentedeprrafopredeter"/>
    <w:rsid w:val="009E7D41"/>
    <w:rPr>
      <w:rFonts w:ascii="Times New Roman" w:hAnsi="Times New Roman" w:cs="Times New Roman" w:hint="default"/>
      <w:b/>
      <w:bCs/>
      <w:i w:val="0"/>
      <w:iCs w:val="0"/>
      <w:strike w:val="0"/>
      <w:dstrike w:val="0"/>
      <w:color w:val="000000"/>
      <w:sz w:val="24"/>
      <w:szCs w:val="24"/>
      <w:u w:val="none"/>
      <w:effect w:val="none"/>
    </w:rPr>
  </w:style>
  <w:style w:type="character" w:customStyle="1" w:styleId="font351">
    <w:name w:val="font351"/>
    <w:basedOn w:val="Fuentedeprrafopredeter"/>
    <w:rsid w:val="009E7D41"/>
    <w:rPr>
      <w:rFonts w:ascii="Times New Roman" w:hAnsi="Times New Roman" w:cs="Times New Roman" w:hint="default"/>
      <w:b/>
      <w:bCs/>
      <w:i w:val="0"/>
      <w:iCs w:val="0"/>
      <w:strike w:val="0"/>
      <w:dstrike w:val="0"/>
      <w:color w:val="000000"/>
      <w:sz w:val="18"/>
      <w:szCs w:val="18"/>
      <w:u w:val="none"/>
      <w:effect w:val="none"/>
    </w:rPr>
  </w:style>
  <w:style w:type="paragraph" w:styleId="Textodeglobo">
    <w:name w:val="Balloon Text"/>
    <w:basedOn w:val="Normal"/>
    <w:link w:val="TextodegloboCar"/>
    <w:uiPriority w:val="99"/>
    <w:semiHidden/>
    <w:unhideWhenUsed/>
    <w:rsid w:val="00C0507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05073"/>
    <w:rPr>
      <w:rFonts w:ascii="Tahoma" w:hAnsi="Tahoma" w:cs="Tahoma"/>
      <w:sz w:val="16"/>
      <w:szCs w:val="16"/>
    </w:rPr>
  </w:style>
  <w:style w:type="paragraph" w:styleId="Sinespaciado">
    <w:name w:val="No Spacing"/>
    <w:uiPriority w:val="1"/>
    <w:qFormat/>
    <w:rsid w:val="00C05073"/>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1863939">
      <w:bodyDiv w:val="1"/>
      <w:marLeft w:val="0"/>
      <w:marRight w:val="0"/>
      <w:marTop w:val="0"/>
      <w:marBottom w:val="0"/>
      <w:divBdr>
        <w:top w:val="none" w:sz="0" w:space="0" w:color="auto"/>
        <w:left w:val="none" w:sz="0" w:space="0" w:color="auto"/>
        <w:bottom w:val="none" w:sz="0" w:space="0" w:color="auto"/>
        <w:right w:val="none" w:sz="0" w:space="0" w:color="auto"/>
      </w:divBdr>
    </w:div>
    <w:div w:id="294529593">
      <w:bodyDiv w:val="1"/>
      <w:marLeft w:val="0"/>
      <w:marRight w:val="0"/>
      <w:marTop w:val="0"/>
      <w:marBottom w:val="0"/>
      <w:divBdr>
        <w:top w:val="none" w:sz="0" w:space="0" w:color="auto"/>
        <w:left w:val="none" w:sz="0" w:space="0" w:color="auto"/>
        <w:bottom w:val="none" w:sz="0" w:space="0" w:color="auto"/>
        <w:right w:val="none" w:sz="0" w:space="0" w:color="auto"/>
      </w:divBdr>
    </w:div>
    <w:div w:id="1005940693">
      <w:bodyDiv w:val="1"/>
      <w:marLeft w:val="0"/>
      <w:marRight w:val="0"/>
      <w:marTop w:val="0"/>
      <w:marBottom w:val="0"/>
      <w:divBdr>
        <w:top w:val="none" w:sz="0" w:space="0" w:color="auto"/>
        <w:left w:val="none" w:sz="0" w:space="0" w:color="auto"/>
        <w:bottom w:val="none" w:sz="0" w:space="0" w:color="auto"/>
        <w:right w:val="none" w:sz="0" w:space="0" w:color="auto"/>
      </w:divBdr>
    </w:div>
    <w:div w:id="1197961632">
      <w:bodyDiv w:val="1"/>
      <w:marLeft w:val="0"/>
      <w:marRight w:val="0"/>
      <w:marTop w:val="0"/>
      <w:marBottom w:val="0"/>
      <w:divBdr>
        <w:top w:val="none" w:sz="0" w:space="0" w:color="auto"/>
        <w:left w:val="none" w:sz="0" w:space="0" w:color="auto"/>
        <w:bottom w:val="none" w:sz="0" w:space="0" w:color="auto"/>
        <w:right w:val="none" w:sz="0" w:space="0" w:color="auto"/>
      </w:divBdr>
    </w:div>
    <w:div w:id="1791588206">
      <w:bodyDiv w:val="1"/>
      <w:marLeft w:val="0"/>
      <w:marRight w:val="0"/>
      <w:marTop w:val="0"/>
      <w:marBottom w:val="0"/>
      <w:divBdr>
        <w:top w:val="none" w:sz="0" w:space="0" w:color="auto"/>
        <w:left w:val="none" w:sz="0" w:space="0" w:color="auto"/>
        <w:bottom w:val="none" w:sz="0" w:space="0" w:color="auto"/>
        <w:right w:val="none" w:sz="0" w:space="0" w:color="auto"/>
      </w:divBdr>
    </w:div>
    <w:div w:id="1850244750">
      <w:bodyDiv w:val="1"/>
      <w:marLeft w:val="0"/>
      <w:marRight w:val="0"/>
      <w:marTop w:val="0"/>
      <w:marBottom w:val="0"/>
      <w:divBdr>
        <w:top w:val="none" w:sz="0" w:space="0" w:color="auto"/>
        <w:left w:val="none" w:sz="0" w:space="0" w:color="auto"/>
        <w:bottom w:val="none" w:sz="0" w:space="0" w:color="auto"/>
        <w:right w:val="none" w:sz="0" w:space="0" w:color="auto"/>
      </w:divBdr>
    </w:div>
    <w:div w:id="1875579582">
      <w:bodyDiv w:val="1"/>
      <w:marLeft w:val="0"/>
      <w:marRight w:val="0"/>
      <w:marTop w:val="0"/>
      <w:marBottom w:val="0"/>
      <w:divBdr>
        <w:top w:val="none" w:sz="0" w:space="0" w:color="auto"/>
        <w:left w:val="none" w:sz="0" w:space="0" w:color="auto"/>
        <w:bottom w:val="none" w:sz="0" w:space="0" w:color="auto"/>
        <w:right w:val="none" w:sz="0" w:space="0" w:color="auto"/>
      </w:divBdr>
    </w:div>
    <w:div w:id="1940603184">
      <w:bodyDiv w:val="1"/>
      <w:marLeft w:val="0"/>
      <w:marRight w:val="0"/>
      <w:marTop w:val="0"/>
      <w:marBottom w:val="0"/>
      <w:divBdr>
        <w:top w:val="none" w:sz="0" w:space="0" w:color="auto"/>
        <w:left w:val="none" w:sz="0" w:space="0" w:color="auto"/>
        <w:bottom w:val="none" w:sz="0" w:space="0" w:color="auto"/>
        <w:right w:val="none" w:sz="0" w:space="0" w:color="auto"/>
      </w:divBdr>
    </w:div>
    <w:div w:id="1976251709">
      <w:bodyDiv w:val="1"/>
      <w:marLeft w:val="0"/>
      <w:marRight w:val="0"/>
      <w:marTop w:val="0"/>
      <w:marBottom w:val="0"/>
      <w:divBdr>
        <w:top w:val="none" w:sz="0" w:space="0" w:color="auto"/>
        <w:left w:val="none" w:sz="0" w:space="0" w:color="auto"/>
        <w:bottom w:val="none" w:sz="0" w:space="0" w:color="auto"/>
        <w:right w:val="none" w:sz="0" w:space="0" w:color="auto"/>
      </w:divBdr>
      <w:divsChild>
        <w:div w:id="1659266061">
          <w:marLeft w:val="0"/>
          <w:marRight w:val="0"/>
          <w:marTop w:val="0"/>
          <w:marBottom w:val="0"/>
          <w:divBdr>
            <w:top w:val="none" w:sz="0" w:space="0" w:color="auto"/>
            <w:left w:val="none" w:sz="0" w:space="0" w:color="auto"/>
            <w:bottom w:val="none" w:sz="0" w:space="0" w:color="auto"/>
            <w:right w:val="none" w:sz="0" w:space="0" w:color="auto"/>
          </w:divBdr>
        </w:div>
      </w:divsChild>
    </w:div>
    <w:div w:id="203630053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chart" Target="charts/chart4.xml"/><Relationship Id="rId26" Type="http://schemas.openxmlformats.org/officeDocument/2006/relationships/chart" Target="charts/chart12.xml"/><Relationship Id="rId39" Type="http://schemas.openxmlformats.org/officeDocument/2006/relationships/chart" Target="charts/chart24.xml"/><Relationship Id="rId21" Type="http://schemas.openxmlformats.org/officeDocument/2006/relationships/chart" Target="charts/chart7.xml"/><Relationship Id="rId34" Type="http://schemas.openxmlformats.org/officeDocument/2006/relationships/chart" Target="charts/chart19.xml"/><Relationship Id="rId42" Type="http://schemas.openxmlformats.org/officeDocument/2006/relationships/chart" Target="charts/chart27.xml"/><Relationship Id="rId47" Type="http://schemas.openxmlformats.org/officeDocument/2006/relationships/chart" Target="charts/chart31.xml"/><Relationship Id="rId50" Type="http://schemas.openxmlformats.org/officeDocument/2006/relationships/chart" Target="charts/chart34.xml"/><Relationship Id="rId55" Type="http://schemas.openxmlformats.org/officeDocument/2006/relationships/chart" Target="charts/chart39.xml"/><Relationship Id="rId63" Type="http://schemas.openxmlformats.org/officeDocument/2006/relationships/chart" Target="charts/chart47.xml"/><Relationship Id="rId68" Type="http://schemas.openxmlformats.org/officeDocument/2006/relationships/header" Target="header1.xml"/><Relationship Id="rId7" Type="http://schemas.microsoft.com/office/2007/relationships/stylesWithEffects" Target="stylesWithEffect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chart" Target="charts/chart2.xml"/><Relationship Id="rId29" Type="http://schemas.openxmlformats.org/officeDocument/2006/relationships/chart" Target="charts/chart1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chart" Target="charts/chart10.xml"/><Relationship Id="rId32" Type="http://schemas.openxmlformats.org/officeDocument/2006/relationships/chart" Target="charts/chart17.xml"/><Relationship Id="rId37" Type="http://schemas.openxmlformats.org/officeDocument/2006/relationships/chart" Target="charts/chart22.xml"/><Relationship Id="rId40" Type="http://schemas.openxmlformats.org/officeDocument/2006/relationships/chart" Target="charts/chart25.xml"/><Relationship Id="rId45" Type="http://schemas.openxmlformats.org/officeDocument/2006/relationships/chart" Target="charts/chart29.xml"/><Relationship Id="rId53" Type="http://schemas.openxmlformats.org/officeDocument/2006/relationships/chart" Target="charts/chart37.xml"/><Relationship Id="rId58" Type="http://schemas.openxmlformats.org/officeDocument/2006/relationships/chart" Target="charts/chart42.xml"/><Relationship Id="rId66" Type="http://schemas.openxmlformats.org/officeDocument/2006/relationships/image" Target="media/image6.png"/><Relationship Id="rId5" Type="http://schemas.openxmlformats.org/officeDocument/2006/relationships/numbering" Target="numbering.xml"/><Relationship Id="rId15" Type="http://schemas.openxmlformats.org/officeDocument/2006/relationships/chart" Target="charts/chart1.xml"/><Relationship Id="rId23" Type="http://schemas.openxmlformats.org/officeDocument/2006/relationships/chart" Target="charts/chart9.xml"/><Relationship Id="rId28" Type="http://schemas.openxmlformats.org/officeDocument/2006/relationships/image" Target="media/image4.png"/><Relationship Id="rId36" Type="http://schemas.openxmlformats.org/officeDocument/2006/relationships/chart" Target="charts/chart21.xml"/><Relationship Id="rId49" Type="http://schemas.openxmlformats.org/officeDocument/2006/relationships/chart" Target="charts/chart33.xml"/><Relationship Id="rId57" Type="http://schemas.openxmlformats.org/officeDocument/2006/relationships/chart" Target="charts/chart41.xml"/><Relationship Id="rId61" Type="http://schemas.openxmlformats.org/officeDocument/2006/relationships/chart" Target="charts/chart45.xml"/><Relationship Id="rId10" Type="http://schemas.openxmlformats.org/officeDocument/2006/relationships/footnotes" Target="footnotes.xml"/><Relationship Id="rId19" Type="http://schemas.openxmlformats.org/officeDocument/2006/relationships/chart" Target="charts/chart5.xml"/><Relationship Id="rId31" Type="http://schemas.openxmlformats.org/officeDocument/2006/relationships/chart" Target="charts/chart16.xml"/><Relationship Id="rId44" Type="http://schemas.openxmlformats.org/officeDocument/2006/relationships/chart" Target="charts/chart28.xml"/><Relationship Id="rId52" Type="http://schemas.openxmlformats.org/officeDocument/2006/relationships/chart" Target="charts/chart36.xml"/><Relationship Id="rId60" Type="http://schemas.openxmlformats.org/officeDocument/2006/relationships/chart" Target="charts/chart44.xml"/><Relationship Id="rId65" Type="http://schemas.openxmlformats.org/officeDocument/2006/relationships/chart" Target="charts/chart49.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chart" Target="charts/chart8.xml"/><Relationship Id="rId27" Type="http://schemas.openxmlformats.org/officeDocument/2006/relationships/chart" Target="charts/chart13.xml"/><Relationship Id="rId30" Type="http://schemas.openxmlformats.org/officeDocument/2006/relationships/chart" Target="charts/chart15.xml"/><Relationship Id="rId35" Type="http://schemas.openxmlformats.org/officeDocument/2006/relationships/chart" Target="charts/chart20.xml"/><Relationship Id="rId43" Type="http://schemas.openxmlformats.org/officeDocument/2006/relationships/image" Target="media/image5.png"/><Relationship Id="rId48" Type="http://schemas.openxmlformats.org/officeDocument/2006/relationships/chart" Target="charts/chart32.xml"/><Relationship Id="rId56" Type="http://schemas.openxmlformats.org/officeDocument/2006/relationships/chart" Target="charts/chart40.xml"/><Relationship Id="rId64" Type="http://schemas.openxmlformats.org/officeDocument/2006/relationships/chart" Target="charts/chart48.xml"/><Relationship Id="rId69" Type="http://schemas.openxmlformats.org/officeDocument/2006/relationships/image" Target="media/image8.emf"/><Relationship Id="rId8" Type="http://schemas.openxmlformats.org/officeDocument/2006/relationships/settings" Target="settings.xml"/><Relationship Id="rId51" Type="http://schemas.openxmlformats.org/officeDocument/2006/relationships/chart" Target="charts/chart35.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chart" Target="charts/chart3.xml"/><Relationship Id="rId25" Type="http://schemas.openxmlformats.org/officeDocument/2006/relationships/chart" Target="charts/chart11.xml"/><Relationship Id="rId33" Type="http://schemas.openxmlformats.org/officeDocument/2006/relationships/chart" Target="charts/chart18.xml"/><Relationship Id="rId38" Type="http://schemas.openxmlformats.org/officeDocument/2006/relationships/chart" Target="charts/chart23.xml"/><Relationship Id="rId46" Type="http://schemas.openxmlformats.org/officeDocument/2006/relationships/chart" Target="charts/chart30.xml"/><Relationship Id="rId59" Type="http://schemas.openxmlformats.org/officeDocument/2006/relationships/chart" Target="charts/chart43.xml"/><Relationship Id="rId67" Type="http://schemas.openxmlformats.org/officeDocument/2006/relationships/image" Target="media/image7.png"/><Relationship Id="rId20" Type="http://schemas.openxmlformats.org/officeDocument/2006/relationships/chart" Target="charts/chart6.xml"/><Relationship Id="rId41" Type="http://schemas.openxmlformats.org/officeDocument/2006/relationships/chart" Target="charts/chart26.xml"/><Relationship Id="rId54" Type="http://schemas.openxmlformats.org/officeDocument/2006/relationships/chart" Target="charts/chart38.xml"/><Relationship Id="rId62" Type="http://schemas.openxmlformats.org/officeDocument/2006/relationships/chart" Target="charts/chart46.xml"/><Relationship Id="rId70"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microsoft.com/office/2011/relationships/chartStyle" Target="style1.xml"/><Relationship Id="rId2" Type="http://schemas.microsoft.com/office/2011/relationships/chartColorStyle" Target="colors1.xml"/><Relationship Id="rId1" Type="http://schemas.openxmlformats.org/officeDocument/2006/relationships/package" Target="../embeddings/Hoja_de_c_lculo_de_Microsoft_Excel1.xlsx"/></Relationships>
</file>

<file path=word/charts/_rels/chart10.xml.rels><?xml version="1.0" encoding="UTF-8" standalone="yes"?>
<Relationships xmlns="http://schemas.openxmlformats.org/package/2006/relationships"><Relationship Id="rId3" Type="http://schemas.microsoft.com/office/2011/relationships/chartStyle" Target="style10.xml"/><Relationship Id="rId2" Type="http://schemas.microsoft.com/office/2011/relationships/chartColorStyle" Target="colors10.xml"/><Relationship Id="rId1" Type="http://schemas.openxmlformats.org/officeDocument/2006/relationships/package" Target="../embeddings/Hoja_de_c_lculo_de_Microsoft_Excel10.xlsx"/></Relationships>
</file>

<file path=word/charts/_rels/chart11.xml.rels><?xml version="1.0" encoding="UTF-8" standalone="yes"?>
<Relationships xmlns="http://schemas.openxmlformats.org/package/2006/relationships"><Relationship Id="rId3" Type="http://schemas.microsoft.com/office/2011/relationships/chartStyle" Target="style11.xml"/><Relationship Id="rId2" Type="http://schemas.microsoft.com/office/2011/relationships/chartColorStyle" Target="colors11.xml"/><Relationship Id="rId1" Type="http://schemas.openxmlformats.org/officeDocument/2006/relationships/package" Target="../embeddings/Hoja_de_c_lculo_de_Microsoft_Excel11.xlsx"/></Relationships>
</file>

<file path=word/charts/_rels/chart12.xml.rels><?xml version="1.0" encoding="UTF-8" standalone="yes"?>
<Relationships xmlns="http://schemas.openxmlformats.org/package/2006/relationships"><Relationship Id="rId3" Type="http://schemas.microsoft.com/office/2011/relationships/chartStyle" Target="style12.xml"/><Relationship Id="rId2" Type="http://schemas.microsoft.com/office/2011/relationships/chartColorStyle" Target="colors12.xml"/><Relationship Id="rId1" Type="http://schemas.openxmlformats.org/officeDocument/2006/relationships/package" Target="../embeddings/Hoja_de_c_lculo_de_Microsoft_Excel12.xlsx"/></Relationships>
</file>

<file path=word/charts/_rels/chart13.xml.rels><?xml version="1.0" encoding="UTF-8" standalone="yes"?>
<Relationships xmlns="http://schemas.openxmlformats.org/package/2006/relationships"><Relationship Id="rId3" Type="http://schemas.microsoft.com/office/2011/relationships/chartStyle" Target="style13.xml"/><Relationship Id="rId2" Type="http://schemas.microsoft.com/office/2011/relationships/chartColorStyle" Target="colors13.xml"/><Relationship Id="rId1" Type="http://schemas.openxmlformats.org/officeDocument/2006/relationships/package" Target="../embeddings/Hoja_de_c_lculo_de_Microsoft_Excel13.xlsx"/></Relationships>
</file>

<file path=word/charts/_rels/chart14.xml.rels><?xml version="1.0" encoding="UTF-8" standalone="yes"?>
<Relationships xmlns="http://schemas.openxmlformats.org/package/2006/relationships"><Relationship Id="rId3" Type="http://schemas.microsoft.com/office/2011/relationships/chartStyle" Target="style14.xml"/><Relationship Id="rId2" Type="http://schemas.microsoft.com/office/2011/relationships/chartColorStyle" Target="colors14.xml"/><Relationship Id="rId1" Type="http://schemas.openxmlformats.org/officeDocument/2006/relationships/package" Target="../embeddings/Hoja_de_c_lculo_de_Microsoft_Excel14.xlsx"/></Relationships>
</file>

<file path=word/charts/_rels/chart15.xml.rels><?xml version="1.0" encoding="UTF-8" standalone="yes"?>
<Relationships xmlns="http://schemas.openxmlformats.org/package/2006/relationships"><Relationship Id="rId3" Type="http://schemas.microsoft.com/office/2011/relationships/chartStyle" Target="style15.xml"/><Relationship Id="rId2" Type="http://schemas.microsoft.com/office/2011/relationships/chartColorStyle" Target="colors15.xml"/><Relationship Id="rId1" Type="http://schemas.openxmlformats.org/officeDocument/2006/relationships/package" Target="../embeddings/Hoja_de_c_lculo_de_Microsoft_Excel15.xlsx"/></Relationships>
</file>

<file path=word/charts/_rels/chart16.xml.rels><?xml version="1.0" encoding="UTF-8" standalone="yes"?>
<Relationships xmlns="http://schemas.openxmlformats.org/package/2006/relationships"><Relationship Id="rId3" Type="http://schemas.microsoft.com/office/2011/relationships/chartStyle" Target="style16.xml"/><Relationship Id="rId2" Type="http://schemas.microsoft.com/office/2011/relationships/chartColorStyle" Target="colors16.xml"/><Relationship Id="rId1" Type="http://schemas.openxmlformats.org/officeDocument/2006/relationships/package" Target="../embeddings/Hoja_de_c_lculo_de_Microsoft_Excel16.xlsx"/></Relationships>
</file>

<file path=word/charts/_rels/chart17.xml.rels><?xml version="1.0" encoding="UTF-8" standalone="yes"?>
<Relationships xmlns="http://schemas.openxmlformats.org/package/2006/relationships"><Relationship Id="rId3" Type="http://schemas.microsoft.com/office/2011/relationships/chartStyle" Target="style17.xml"/><Relationship Id="rId2" Type="http://schemas.microsoft.com/office/2011/relationships/chartColorStyle" Target="colors17.xml"/><Relationship Id="rId1" Type="http://schemas.openxmlformats.org/officeDocument/2006/relationships/package" Target="../embeddings/Hoja_de_c_lculo_de_Microsoft_Excel17.xlsx"/></Relationships>
</file>

<file path=word/charts/_rels/chart18.xml.rels><?xml version="1.0" encoding="UTF-8" standalone="yes"?>
<Relationships xmlns="http://schemas.openxmlformats.org/package/2006/relationships"><Relationship Id="rId3" Type="http://schemas.microsoft.com/office/2011/relationships/chartStyle" Target="style18.xml"/><Relationship Id="rId2" Type="http://schemas.microsoft.com/office/2011/relationships/chartColorStyle" Target="colors18.xml"/><Relationship Id="rId1" Type="http://schemas.openxmlformats.org/officeDocument/2006/relationships/package" Target="../embeddings/Hoja_de_c_lculo_de_Microsoft_Excel18.xlsx"/></Relationships>
</file>

<file path=word/charts/_rels/chart19.xml.rels><?xml version="1.0" encoding="UTF-8" standalone="yes"?>
<Relationships xmlns="http://schemas.openxmlformats.org/package/2006/relationships"><Relationship Id="rId3" Type="http://schemas.microsoft.com/office/2011/relationships/chartStyle" Target="style19.xml"/><Relationship Id="rId2" Type="http://schemas.microsoft.com/office/2011/relationships/chartColorStyle" Target="colors19.xml"/><Relationship Id="rId1" Type="http://schemas.openxmlformats.org/officeDocument/2006/relationships/package" Target="../embeddings/Hoja_de_c_lculo_de_Microsoft_Excel19.xlsx"/></Relationships>
</file>

<file path=word/charts/_rels/chart2.xml.rels><?xml version="1.0" encoding="UTF-8" standalone="yes"?>
<Relationships xmlns="http://schemas.openxmlformats.org/package/2006/relationships"><Relationship Id="rId3" Type="http://schemas.microsoft.com/office/2011/relationships/chartStyle" Target="style2.xml"/><Relationship Id="rId2" Type="http://schemas.microsoft.com/office/2011/relationships/chartColorStyle" Target="colors2.xml"/><Relationship Id="rId1" Type="http://schemas.openxmlformats.org/officeDocument/2006/relationships/package" Target="../embeddings/Hoja_de_c_lculo_de_Microsoft_Excel2.xlsx"/></Relationships>
</file>

<file path=word/charts/_rels/chart20.xml.rels><?xml version="1.0" encoding="UTF-8" standalone="yes"?>
<Relationships xmlns="http://schemas.openxmlformats.org/package/2006/relationships"><Relationship Id="rId3" Type="http://schemas.microsoft.com/office/2011/relationships/chartStyle" Target="style20.xml"/><Relationship Id="rId2" Type="http://schemas.microsoft.com/office/2011/relationships/chartColorStyle" Target="colors20.xml"/><Relationship Id="rId1" Type="http://schemas.openxmlformats.org/officeDocument/2006/relationships/package" Target="../embeddings/Hoja_de_c_lculo_de_Microsoft_Excel20.xlsx"/></Relationships>
</file>

<file path=word/charts/_rels/chart21.xml.rels><?xml version="1.0" encoding="UTF-8" standalone="yes"?>
<Relationships xmlns="http://schemas.openxmlformats.org/package/2006/relationships"><Relationship Id="rId3" Type="http://schemas.microsoft.com/office/2011/relationships/chartStyle" Target="style21.xml"/><Relationship Id="rId2" Type="http://schemas.microsoft.com/office/2011/relationships/chartColorStyle" Target="colors21.xml"/><Relationship Id="rId1" Type="http://schemas.openxmlformats.org/officeDocument/2006/relationships/package" Target="../embeddings/Hoja_de_c_lculo_de_Microsoft_Excel21.xlsx"/></Relationships>
</file>

<file path=word/charts/_rels/chart22.xml.rels><?xml version="1.0" encoding="UTF-8" standalone="yes"?>
<Relationships xmlns="http://schemas.openxmlformats.org/package/2006/relationships"><Relationship Id="rId3" Type="http://schemas.microsoft.com/office/2011/relationships/chartStyle" Target="style22.xml"/><Relationship Id="rId2" Type="http://schemas.microsoft.com/office/2011/relationships/chartColorStyle" Target="colors22.xml"/><Relationship Id="rId1" Type="http://schemas.openxmlformats.org/officeDocument/2006/relationships/package" Target="../embeddings/Hoja_de_c_lculo_de_Microsoft_Excel22.xlsx"/></Relationships>
</file>

<file path=word/charts/_rels/chart23.xml.rels><?xml version="1.0" encoding="UTF-8" standalone="yes"?>
<Relationships xmlns="http://schemas.openxmlformats.org/package/2006/relationships"><Relationship Id="rId3" Type="http://schemas.microsoft.com/office/2011/relationships/chartStyle" Target="style23.xml"/><Relationship Id="rId2" Type="http://schemas.microsoft.com/office/2011/relationships/chartColorStyle" Target="colors23.xml"/><Relationship Id="rId1" Type="http://schemas.openxmlformats.org/officeDocument/2006/relationships/package" Target="../embeddings/Hoja_de_c_lculo_de_Microsoft_Excel23.xlsx"/></Relationships>
</file>

<file path=word/charts/_rels/chart24.xml.rels><?xml version="1.0" encoding="UTF-8" standalone="yes"?>
<Relationships xmlns="http://schemas.openxmlformats.org/package/2006/relationships"><Relationship Id="rId3" Type="http://schemas.microsoft.com/office/2011/relationships/chartStyle" Target="style24.xml"/><Relationship Id="rId2" Type="http://schemas.microsoft.com/office/2011/relationships/chartColorStyle" Target="colors24.xml"/><Relationship Id="rId1" Type="http://schemas.openxmlformats.org/officeDocument/2006/relationships/package" Target="../embeddings/Hoja_de_c_lculo_de_Microsoft_Excel24.xlsx"/></Relationships>
</file>

<file path=word/charts/_rels/chart25.xml.rels><?xml version="1.0" encoding="UTF-8" standalone="yes"?>
<Relationships xmlns="http://schemas.openxmlformats.org/package/2006/relationships"><Relationship Id="rId3" Type="http://schemas.microsoft.com/office/2011/relationships/chartStyle" Target="style25.xml"/><Relationship Id="rId2" Type="http://schemas.microsoft.com/office/2011/relationships/chartColorStyle" Target="colors25.xml"/><Relationship Id="rId1" Type="http://schemas.openxmlformats.org/officeDocument/2006/relationships/package" Target="../embeddings/Hoja_de_c_lculo_de_Microsoft_Excel25.xlsx"/></Relationships>
</file>

<file path=word/charts/_rels/chart26.xml.rels><?xml version="1.0" encoding="UTF-8" standalone="yes"?>
<Relationships xmlns="http://schemas.openxmlformats.org/package/2006/relationships"><Relationship Id="rId3" Type="http://schemas.microsoft.com/office/2011/relationships/chartStyle" Target="style26.xml"/><Relationship Id="rId2" Type="http://schemas.microsoft.com/office/2011/relationships/chartColorStyle" Target="colors26.xml"/><Relationship Id="rId1" Type="http://schemas.openxmlformats.org/officeDocument/2006/relationships/package" Target="../embeddings/Hoja_de_c_lculo_de_Microsoft_Excel26.xlsx"/></Relationships>
</file>

<file path=word/charts/_rels/chart27.xml.rels><?xml version="1.0" encoding="UTF-8" standalone="yes"?>
<Relationships xmlns="http://schemas.openxmlformats.org/package/2006/relationships"><Relationship Id="rId3" Type="http://schemas.microsoft.com/office/2011/relationships/chartStyle" Target="style27.xml"/><Relationship Id="rId2" Type="http://schemas.microsoft.com/office/2011/relationships/chartColorStyle" Target="colors27.xml"/><Relationship Id="rId1" Type="http://schemas.openxmlformats.org/officeDocument/2006/relationships/package" Target="../embeddings/Hoja_de_c_lculo_de_Microsoft_Excel27.xlsx"/></Relationships>
</file>

<file path=word/charts/_rels/chart28.xml.rels><?xml version="1.0" encoding="UTF-8" standalone="yes"?>
<Relationships xmlns="http://schemas.openxmlformats.org/package/2006/relationships"><Relationship Id="rId3" Type="http://schemas.microsoft.com/office/2011/relationships/chartStyle" Target="style28.xml"/><Relationship Id="rId2" Type="http://schemas.microsoft.com/office/2011/relationships/chartColorStyle" Target="colors28.xml"/><Relationship Id="rId1" Type="http://schemas.openxmlformats.org/officeDocument/2006/relationships/package" Target="../embeddings/Hoja_de_c_lculo_de_Microsoft_Excel28.xlsx"/></Relationships>
</file>

<file path=word/charts/_rels/chart29.xml.rels><?xml version="1.0" encoding="UTF-8" standalone="yes"?>
<Relationships xmlns="http://schemas.openxmlformats.org/package/2006/relationships"><Relationship Id="rId3" Type="http://schemas.microsoft.com/office/2011/relationships/chartStyle" Target="style29.xml"/><Relationship Id="rId2" Type="http://schemas.microsoft.com/office/2011/relationships/chartColorStyle" Target="colors29.xml"/><Relationship Id="rId1" Type="http://schemas.openxmlformats.org/officeDocument/2006/relationships/package" Target="../embeddings/Hoja_de_c_lculo_de_Microsoft_Excel29.xlsx"/></Relationships>
</file>

<file path=word/charts/_rels/chart3.xml.rels><?xml version="1.0" encoding="UTF-8" standalone="yes"?>
<Relationships xmlns="http://schemas.openxmlformats.org/package/2006/relationships"><Relationship Id="rId3" Type="http://schemas.microsoft.com/office/2011/relationships/chartStyle" Target="style3.xml"/><Relationship Id="rId2" Type="http://schemas.microsoft.com/office/2011/relationships/chartColorStyle" Target="colors3.xml"/><Relationship Id="rId1" Type="http://schemas.openxmlformats.org/officeDocument/2006/relationships/package" Target="../embeddings/Hoja_de_c_lculo_de_Microsoft_Excel3.xlsx"/></Relationships>
</file>

<file path=word/charts/_rels/chart30.xml.rels><?xml version="1.0" encoding="UTF-8" standalone="yes"?>
<Relationships xmlns="http://schemas.openxmlformats.org/package/2006/relationships"><Relationship Id="rId3" Type="http://schemas.microsoft.com/office/2011/relationships/chartStyle" Target="style30.xml"/><Relationship Id="rId2" Type="http://schemas.microsoft.com/office/2011/relationships/chartColorStyle" Target="colors30.xml"/><Relationship Id="rId1" Type="http://schemas.openxmlformats.org/officeDocument/2006/relationships/package" Target="../embeddings/Hoja_de_c_lculo_de_Microsoft_Excel30.xlsx"/></Relationships>
</file>

<file path=word/charts/_rels/chart31.xml.rels><?xml version="1.0" encoding="UTF-8" standalone="yes"?>
<Relationships xmlns="http://schemas.openxmlformats.org/package/2006/relationships"><Relationship Id="rId3" Type="http://schemas.microsoft.com/office/2011/relationships/chartStyle" Target="style31.xml"/><Relationship Id="rId2" Type="http://schemas.microsoft.com/office/2011/relationships/chartColorStyle" Target="colors31.xml"/><Relationship Id="rId1" Type="http://schemas.openxmlformats.org/officeDocument/2006/relationships/package" Target="../embeddings/Hoja_de_c_lculo_de_Microsoft_Excel31.xlsx"/></Relationships>
</file>

<file path=word/charts/_rels/chart32.xml.rels><?xml version="1.0" encoding="UTF-8" standalone="yes"?>
<Relationships xmlns="http://schemas.openxmlformats.org/package/2006/relationships"><Relationship Id="rId3" Type="http://schemas.microsoft.com/office/2011/relationships/chartStyle" Target="style32.xml"/><Relationship Id="rId2" Type="http://schemas.microsoft.com/office/2011/relationships/chartColorStyle" Target="colors32.xml"/><Relationship Id="rId1" Type="http://schemas.openxmlformats.org/officeDocument/2006/relationships/package" Target="../embeddings/Hoja_de_c_lculo_de_Microsoft_Excel32.xlsx"/></Relationships>
</file>

<file path=word/charts/_rels/chart33.xml.rels><?xml version="1.0" encoding="UTF-8" standalone="yes"?>
<Relationships xmlns="http://schemas.openxmlformats.org/package/2006/relationships"><Relationship Id="rId3" Type="http://schemas.microsoft.com/office/2011/relationships/chartStyle" Target="style33.xml"/><Relationship Id="rId2" Type="http://schemas.microsoft.com/office/2011/relationships/chartColorStyle" Target="colors33.xml"/><Relationship Id="rId1" Type="http://schemas.openxmlformats.org/officeDocument/2006/relationships/package" Target="../embeddings/Hoja_de_c_lculo_de_Microsoft_Excel33.xlsx"/></Relationships>
</file>

<file path=word/charts/_rels/chart34.xml.rels><?xml version="1.0" encoding="UTF-8" standalone="yes"?>
<Relationships xmlns="http://schemas.openxmlformats.org/package/2006/relationships"><Relationship Id="rId3" Type="http://schemas.microsoft.com/office/2011/relationships/chartStyle" Target="style34.xml"/><Relationship Id="rId2" Type="http://schemas.microsoft.com/office/2011/relationships/chartColorStyle" Target="colors34.xml"/><Relationship Id="rId1" Type="http://schemas.openxmlformats.org/officeDocument/2006/relationships/package" Target="../embeddings/Hoja_de_c_lculo_de_Microsoft_Excel34.xlsx"/></Relationships>
</file>

<file path=word/charts/_rels/chart35.xml.rels><?xml version="1.0" encoding="UTF-8" standalone="yes"?>
<Relationships xmlns="http://schemas.openxmlformats.org/package/2006/relationships"><Relationship Id="rId3" Type="http://schemas.microsoft.com/office/2011/relationships/chartStyle" Target="style35.xml"/><Relationship Id="rId2" Type="http://schemas.microsoft.com/office/2011/relationships/chartColorStyle" Target="colors35.xml"/><Relationship Id="rId1" Type="http://schemas.openxmlformats.org/officeDocument/2006/relationships/package" Target="../embeddings/Hoja_de_c_lculo_de_Microsoft_Excel35.xlsx"/></Relationships>
</file>

<file path=word/charts/_rels/chart36.xml.rels><?xml version="1.0" encoding="UTF-8" standalone="yes"?>
<Relationships xmlns="http://schemas.openxmlformats.org/package/2006/relationships"><Relationship Id="rId3" Type="http://schemas.microsoft.com/office/2011/relationships/chartStyle" Target="style36.xml"/><Relationship Id="rId2" Type="http://schemas.microsoft.com/office/2011/relationships/chartColorStyle" Target="colors36.xml"/><Relationship Id="rId1" Type="http://schemas.openxmlformats.org/officeDocument/2006/relationships/package" Target="../embeddings/Hoja_de_c_lculo_de_Microsoft_Excel36.xlsx"/></Relationships>
</file>

<file path=word/charts/_rels/chart37.xml.rels><?xml version="1.0" encoding="UTF-8" standalone="yes"?>
<Relationships xmlns="http://schemas.openxmlformats.org/package/2006/relationships"><Relationship Id="rId3" Type="http://schemas.microsoft.com/office/2011/relationships/chartStyle" Target="style37.xml"/><Relationship Id="rId2" Type="http://schemas.microsoft.com/office/2011/relationships/chartColorStyle" Target="colors37.xml"/><Relationship Id="rId1" Type="http://schemas.openxmlformats.org/officeDocument/2006/relationships/package" Target="../embeddings/Hoja_de_c_lculo_de_Microsoft_Excel37.xlsx"/></Relationships>
</file>

<file path=word/charts/_rels/chart38.xml.rels><?xml version="1.0" encoding="UTF-8" standalone="yes"?>
<Relationships xmlns="http://schemas.openxmlformats.org/package/2006/relationships"><Relationship Id="rId3" Type="http://schemas.microsoft.com/office/2011/relationships/chartStyle" Target="style38.xml"/><Relationship Id="rId2" Type="http://schemas.microsoft.com/office/2011/relationships/chartColorStyle" Target="colors38.xml"/><Relationship Id="rId1" Type="http://schemas.openxmlformats.org/officeDocument/2006/relationships/package" Target="../embeddings/Hoja_de_c_lculo_de_Microsoft_Excel38.xlsx"/></Relationships>
</file>

<file path=word/charts/_rels/chart39.xml.rels><?xml version="1.0" encoding="UTF-8" standalone="yes"?>
<Relationships xmlns="http://schemas.openxmlformats.org/package/2006/relationships"><Relationship Id="rId3" Type="http://schemas.microsoft.com/office/2011/relationships/chartStyle" Target="style39.xml"/><Relationship Id="rId2" Type="http://schemas.microsoft.com/office/2011/relationships/chartColorStyle" Target="colors39.xml"/><Relationship Id="rId1" Type="http://schemas.openxmlformats.org/officeDocument/2006/relationships/package" Target="../embeddings/Hoja_de_c_lculo_de_Microsoft_Excel39.xlsx"/></Relationships>
</file>

<file path=word/charts/_rels/chart4.xml.rels><?xml version="1.0" encoding="UTF-8" standalone="yes"?>
<Relationships xmlns="http://schemas.openxmlformats.org/package/2006/relationships"><Relationship Id="rId3" Type="http://schemas.microsoft.com/office/2011/relationships/chartStyle" Target="style4.xml"/><Relationship Id="rId2" Type="http://schemas.microsoft.com/office/2011/relationships/chartColorStyle" Target="colors4.xml"/><Relationship Id="rId1" Type="http://schemas.openxmlformats.org/officeDocument/2006/relationships/package" Target="../embeddings/Hoja_de_c_lculo_de_Microsoft_Excel4.xlsx"/></Relationships>
</file>

<file path=word/charts/_rels/chart40.xml.rels><?xml version="1.0" encoding="UTF-8" standalone="yes"?>
<Relationships xmlns="http://schemas.openxmlformats.org/package/2006/relationships"><Relationship Id="rId3" Type="http://schemas.microsoft.com/office/2011/relationships/chartStyle" Target="style40.xml"/><Relationship Id="rId2" Type="http://schemas.microsoft.com/office/2011/relationships/chartColorStyle" Target="colors40.xml"/><Relationship Id="rId1" Type="http://schemas.openxmlformats.org/officeDocument/2006/relationships/package" Target="../embeddings/Hoja_de_c_lculo_de_Microsoft_Excel40.xlsx"/></Relationships>
</file>

<file path=word/charts/_rels/chart41.xml.rels><?xml version="1.0" encoding="UTF-8" standalone="yes"?>
<Relationships xmlns="http://schemas.openxmlformats.org/package/2006/relationships"><Relationship Id="rId3" Type="http://schemas.microsoft.com/office/2011/relationships/chartStyle" Target="style41.xml"/><Relationship Id="rId2" Type="http://schemas.microsoft.com/office/2011/relationships/chartColorStyle" Target="colors41.xml"/><Relationship Id="rId1" Type="http://schemas.openxmlformats.org/officeDocument/2006/relationships/package" Target="../embeddings/Hoja_de_c_lculo_de_Microsoft_Excel41.xlsx"/></Relationships>
</file>

<file path=word/charts/_rels/chart42.xml.rels><?xml version="1.0" encoding="UTF-8" standalone="yes"?>
<Relationships xmlns="http://schemas.openxmlformats.org/package/2006/relationships"><Relationship Id="rId3" Type="http://schemas.microsoft.com/office/2011/relationships/chartStyle" Target="style42.xml"/><Relationship Id="rId2" Type="http://schemas.microsoft.com/office/2011/relationships/chartColorStyle" Target="colors42.xml"/><Relationship Id="rId1" Type="http://schemas.openxmlformats.org/officeDocument/2006/relationships/package" Target="../embeddings/Hoja_de_c_lculo_de_Microsoft_Excel42.xlsx"/></Relationships>
</file>

<file path=word/charts/_rels/chart43.xml.rels><?xml version="1.0" encoding="UTF-8" standalone="yes"?>
<Relationships xmlns="http://schemas.openxmlformats.org/package/2006/relationships"><Relationship Id="rId3" Type="http://schemas.microsoft.com/office/2011/relationships/chartStyle" Target="style43.xml"/><Relationship Id="rId2" Type="http://schemas.microsoft.com/office/2011/relationships/chartColorStyle" Target="colors43.xml"/><Relationship Id="rId1" Type="http://schemas.openxmlformats.org/officeDocument/2006/relationships/package" Target="../embeddings/Hoja_de_c_lculo_de_Microsoft_Excel43.xlsx"/></Relationships>
</file>

<file path=word/charts/_rels/chart44.xml.rels><?xml version="1.0" encoding="UTF-8" standalone="yes"?>
<Relationships xmlns="http://schemas.openxmlformats.org/package/2006/relationships"><Relationship Id="rId3" Type="http://schemas.microsoft.com/office/2011/relationships/chartStyle" Target="style44.xml"/><Relationship Id="rId2" Type="http://schemas.microsoft.com/office/2011/relationships/chartColorStyle" Target="colors44.xml"/><Relationship Id="rId1" Type="http://schemas.openxmlformats.org/officeDocument/2006/relationships/package" Target="../embeddings/Hoja_de_c_lculo_de_Microsoft_Excel44.xlsx"/></Relationships>
</file>

<file path=word/charts/_rels/chart45.xml.rels><?xml version="1.0" encoding="UTF-8" standalone="yes"?>
<Relationships xmlns="http://schemas.openxmlformats.org/package/2006/relationships"><Relationship Id="rId3" Type="http://schemas.microsoft.com/office/2011/relationships/chartStyle" Target="style45.xml"/><Relationship Id="rId2" Type="http://schemas.microsoft.com/office/2011/relationships/chartColorStyle" Target="colors45.xml"/><Relationship Id="rId1" Type="http://schemas.openxmlformats.org/officeDocument/2006/relationships/package" Target="../embeddings/Hoja_de_c_lculo_de_Microsoft_Excel45.xlsx"/></Relationships>
</file>

<file path=word/charts/_rels/chart46.xml.rels><?xml version="1.0" encoding="UTF-8" standalone="yes"?>
<Relationships xmlns="http://schemas.openxmlformats.org/package/2006/relationships"><Relationship Id="rId3" Type="http://schemas.microsoft.com/office/2011/relationships/chartStyle" Target="style46.xml"/><Relationship Id="rId2" Type="http://schemas.microsoft.com/office/2011/relationships/chartColorStyle" Target="colors46.xml"/><Relationship Id="rId1" Type="http://schemas.openxmlformats.org/officeDocument/2006/relationships/oleObject" Target="file:///\\SRV-DATOS\Docs\ycolon\Desktop\POA%202024%20-%20T3\Avance%20POA%202024.1.xlsx" TargetMode="External"/></Relationships>
</file>

<file path=word/charts/_rels/chart47.xml.rels><?xml version="1.0" encoding="UTF-8" standalone="yes"?>
<Relationships xmlns="http://schemas.openxmlformats.org/package/2006/relationships"><Relationship Id="rId3" Type="http://schemas.microsoft.com/office/2011/relationships/chartStyle" Target="style47.xml"/><Relationship Id="rId2" Type="http://schemas.microsoft.com/office/2011/relationships/chartColorStyle" Target="colors47.xml"/><Relationship Id="rId1" Type="http://schemas.openxmlformats.org/officeDocument/2006/relationships/package" Target="../embeddings/Hoja_de_c_lculo_de_Microsoft_Excel46.xlsx"/></Relationships>
</file>

<file path=word/charts/_rels/chart48.xml.rels><?xml version="1.0" encoding="UTF-8" standalone="yes"?>
<Relationships xmlns="http://schemas.openxmlformats.org/package/2006/relationships"><Relationship Id="rId3" Type="http://schemas.microsoft.com/office/2011/relationships/chartStyle" Target="style48.xml"/><Relationship Id="rId2" Type="http://schemas.microsoft.com/office/2011/relationships/chartColorStyle" Target="colors48.xml"/><Relationship Id="rId1" Type="http://schemas.openxmlformats.org/officeDocument/2006/relationships/package" Target="../embeddings/Hoja_de_c_lculo_de_Microsoft_Excel47.xlsx"/></Relationships>
</file>

<file path=word/charts/_rels/chart49.xml.rels><?xml version="1.0" encoding="UTF-8" standalone="yes"?>
<Relationships xmlns="http://schemas.openxmlformats.org/package/2006/relationships"><Relationship Id="rId3" Type="http://schemas.microsoft.com/office/2011/relationships/chartStyle" Target="style49.xml"/><Relationship Id="rId2" Type="http://schemas.microsoft.com/office/2011/relationships/chartColorStyle" Target="colors49.xml"/><Relationship Id="rId1" Type="http://schemas.openxmlformats.org/officeDocument/2006/relationships/package" Target="../embeddings/Hoja_de_c_lculo_de_Microsoft_Excel48.xlsx"/></Relationships>
</file>

<file path=word/charts/_rels/chart5.xml.rels><?xml version="1.0" encoding="UTF-8" standalone="yes"?>
<Relationships xmlns="http://schemas.openxmlformats.org/package/2006/relationships"><Relationship Id="rId3" Type="http://schemas.microsoft.com/office/2011/relationships/chartStyle" Target="style5.xml"/><Relationship Id="rId2" Type="http://schemas.microsoft.com/office/2011/relationships/chartColorStyle" Target="colors5.xml"/><Relationship Id="rId1" Type="http://schemas.openxmlformats.org/officeDocument/2006/relationships/package" Target="../embeddings/Hoja_de_c_lculo_de_Microsoft_Excel5.xlsx"/></Relationships>
</file>

<file path=word/charts/_rels/chart6.xml.rels><?xml version="1.0" encoding="UTF-8" standalone="yes"?>
<Relationships xmlns="http://schemas.openxmlformats.org/package/2006/relationships"><Relationship Id="rId3" Type="http://schemas.microsoft.com/office/2011/relationships/chartStyle" Target="style6.xml"/><Relationship Id="rId2" Type="http://schemas.microsoft.com/office/2011/relationships/chartColorStyle" Target="colors6.xml"/><Relationship Id="rId1" Type="http://schemas.openxmlformats.org/officeDocument/2006/relationships/package" Target="../embeddings/Hoja_de_c_lculo_de_Microsoft_Excel6.xlsx"/></Relationships>
</file>

<file path=word/charts/_rels/chart7.xml.rels><?xml version="1.0" encoding="UTF-8" standalone="yes"?>
<Relationships xmlns="http://schemas.openxmlformats.org/package/2006/relationships"><Relationship Id="rId3" Type="http://schemas.microsoft.com/office/2011/relationships/chartStyle" Target="style7.xml"/><Relationship Id="rId2" Type="http://schemas.microsoft.com/office/2011/relationships/chartColorStyle" Target="colors7.xml"/><Relationship Id="rId1" Type="http://schemas.openxmlformats.org/officeDocument/2006/relationships/package" Target="../embeddings/Hoja_de_c_lculo_de_Microsoft_Excel7.xlsx"/></Relationships>
</file>

<file path=word/charts/_rels/chart8.xml.rels><?xml version="1.0" encoding="UTF-8" standalone="yes"?>
<Relationships xmlns="http://schemas.openxmlformats.org/package/2006/relationships"><Relationship Id="rId3" Type="http://schemas.microsoft.com/office/2011/relationships/chartStyle" Target="style8.xml"/><Relationship Id="rId2" Type="http://schemas.microsoft.com/office/2011/relationships/chartColorStyle" Target="colors8.xml"/><Relationship Id="rId1" Type="http://schemas.openxmlformats.org/officeDocument/2006/relationships/package" Target="../embeddings/Hoja_de_c_lculo_de_Microsoft_Excel8.xlsx"/></Relationships>
</file>

<file path=word/charts/_rels/chart9.xml.rels><?xml version="1.0" encoding="UTF-8" standalone="yes"?>
<Relationships xmlns="http://schemas.openxmlformats.org/package/2006/relationships"><Relationship Id="rId3" Type="http://schemas.microsoft.com/office/2011/relationships/chartStyle" Target="style9.xml"/><Relationship Id="rId2" Type="http://schemas.microsoft.com/office/2011/relationships/chartColorStyle" Target="colors9.xml"/><Relationship Id="rId1" Type="http://schemas.openxmlformats.org/officeDocument/2006/relationships/package" Target="../embeddings/Hoja_de_c_lculo_de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ES"/>
              <a:t>Atención al Ciudadano y Seguridad del Documento de Viaje</a:t>
            </a:r>
          </a:p>
        </c:rich>
      </c:tx>
      <c:layout>
        <c:manualLayout>
          <c:xMode val="edge"/>
          <c:yMode val="edge"/>
          <c:x val="0.11541245463128991"/>
          <c:y val="2.8860015743479454E-2"/>
        </c:manualLayout>
      </c:layout>
      <c:overlay val="0"/>
      <c:spPr>
        <a:noFill/>
        <a:ln>
          <a:noFill/>
        </a:ln>
        <a:effectLst/>
      </c:sp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1"/>
            <c:invertIfNegative val="0"/>
            <c:bubble3D val="0"/>
            <c:spPr>
              <a:solidFill>
                <a:schemeClr val="accent2">
                  <a:lumMod val="75000"/>
                </a:schemeClr>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3216-4E35-9D31-11B522D412B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Hoja3!$C$4:$C$5</c:f>
              <c:strCache>
                <c:ptCount val="2"/>
                <c:pt idx="0">
                  <c:v>Programado</c:v>
                </c:pt>
                <c:pt idx="1">
                  <c:v>Ejecutado</c:v>
                </c:pt>
              </c:strCache>
            </c:strRef>
          </c:cat>
          <c:val>
            <c:numRef>
              <c:f>Hoja3!$D$4:$D$5</c:f>
              <c:numCache>
                <c:formatCode>0.00%</c:formatCode>
                <c:ptCount val="2"/>
                <c:pt idx="0">
                  <c:v>0.12</c:v>
                </c:pt>
                <c:pt idx="1">
                  <c:v>0.1196</c:v>
                </c:pt>
              </c:numCache>
            </c:numRef>
          </c:val>
          <c:extLst xmlns:c16r2="http://schemas.microsoft.com/office/drawing/2015/06/chart">
            <c:ext xmlns:c16="http://schemas.microsoft.com/office/drawing/2014/chart" uri="{C3380CC4-5D6E-409C-BE32-E72D297353CC}">
              <c16:uniqueId val="{00000002-3216-4E35-9D31-11B522D412B4}"/>
            </c:ext>
          </c:extLst>
        </c:ser>
        <c:dLbls>
          <c:dLblPos val="outEnd"/>
          <c:showLegendKey val="0"/>
          <c:showVal val="1"/>
          <c:showCatName val="0"/>
          <c:showSerName val="0"/>
          <c:showPercent val="0"/>
          <c:showBubbleSize val="0"/>
        </c:dLbls>
        <c:gapWidth val="100"/>
        <c:overlap val="-24"/>
        <c:axId val="79399552"/>
        <c:axId val="79423360"/>
      </c:barChart>
      <c:catAx>
        <c:axId val="7939955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79423360"/>
        <c:crosses val="autoZero"/>
        <c:auto val="1"/>
        <c:lblAlgn val="ctr"/>
        <c:lblOffset val="100"/>
        <c:noMultiLvlLbl val="0"/>
      </c:catAx>
      <c:valAx>
        <c:axId val="79423360"/>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79399552"/>
        <c:crosses val="autoZero"/>
        <c:crossBetween val="between"/>
      </c:valAx>
      <c:spPr>
        <a:noFill/>
        <a:ln>
          <a:noFill/>
        </a:ln>
        <a:effectLst/>
      </c:spPr>
    </c:plotArea>
    <c:plotVisOnly val="1"/>
    <c:dispBlanksAs val="gap"/>
    <c:showDLblsOverMax val="0"/>
  </c:chart>
  <c:spPr>
    <a:gradFill flip="none" rotWithShape="1">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tileRect/>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rPr>
              <a:t>Elaboración de un Help Desk de Novedad de las OPP</a:t>
            </a:r>
          </a:p>
        </c:rich>
      </c:tx>
      <c:overlay val="0"/>
      <c:spPr>
        <a:noFill/>
        <a:ln>
          <a:noFill/>
        </a:ln>
        <a:effectLst/>
      </c:spPr>
    </c:title>
    <c:autoTitleDeleted val="0"/>
    <c:plotArea>
      <c:layout/>
      <c:barChart>
        <c:barDir val="bar"/>
        <c:grouping val="clustered"/>
        <c:varyColors val="0"/>
        <c:ser>
          <c:idx val="2"/>
          <c:order val="0"/>
          <c:spPr>
            <a:solidFill>
              <a:schemeClr val="accent3"/>
            </a:solidFill>
            <a:ln>
              <a:noFill/>
            </a:ln>
            <a:effectLst/>
            <a:scene3d>
              <a:camera prst="orthographicFront"/>
              <a:lightRig rig="threePt" dir="t"/>
            </a:scene3d>
            <a:sp3d>
              <a:bevelT/>
              <a:bevelB/>
            </a:sp3d>
          </c:spPr>
          <c:invertIfNegative val="0"/>
          <c:dPt>
            <c:idx val="0"/>
            <c:invertIfNegative val="0"/>
            <c:bubble3D val="0"/>
            <c:spPr>
              <a:solidFill>
                <a:srgbClr val="FFFF00"/>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5-4CA3-4FC7-830A-4C4C679F795A}"/>
              </c:ext>
            </c:extLst>
          </c:dPt>
          <c:dPt>
            <c:idx val="1"/>
            <c:invertIfNegative val="0"/>
            <c:bubble3D val="0"/>
            <c:spPr>
              <a:solidFill>
                <a:schemeClr val="accent6">
                  <a:lumMod val="50000"/>
                </a:schemeClr>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1-4CA3-4FC7-830A-4C4C679F795A}"/>
              </c:ext>
            </c:extLst>
          </c:dPt>
          <c:cat>
            <c:strRef>
              <c:f>'Supervisión y control G'!$C$18:$C$19</c:f>
              <c:strCache>
                <c:ptCount val="2"/>
                <c:pt idx="0">
                  <c:v>Cantidad de Help Desk</c:v>
                </c:pt>
                <c:pt idx="1">
                  <c:v>Equivalente 1/100</c:v>
                </c:pt>
              </c:strCache>
            </c:strRef>
          </c:cat>
          <c:val>
            <c:numRef>
              <c:f>'Supervisión y control G'!$F$18:$F$19</c:f>
              <c:numCache>
                <c:formatCode>0%</c:formatCode>
                <c:ptCount val="2"/>
                <c:pt idx="0">
                  <c:v>0.75</c:v>
                </c:pt>
                <c:pt idx="1">
                  <c:v>1</c:v>
                </c:pt>
              </c:numCache>
            </c:numRef>
          </c:val>
          <c:extLst xmlns:c16r2="http://schemas.microsoft.com/office/drawing/2015/06/chart">
            <c:ext xmlns:c16="http://schemas.microsoft.com/office/drawing/2014/chart" uri="{C3380CC4-5D6E-409C-BE32-E72D297353CC}">
              <c16:uniqueId val="{00000002-4CA3-4FC7-830A-4C4C679F795A}"/>
            </c:ext>
          </c:extLst>
        </c:ser>
        <c:dLbls>
          <c:showLegendKey val="0"/>
          <c:showVal val="0"/>
          <c:showCatName val="0"/>
          <c:showSerName val="0"/>
          <c:showPercent val="0"/>
          <c:showBubbleSize val="0"/>
        </c:dLbls>
        <c:gapWidth val="182"/>
        <c:axId val="90010752"/>
        <c:axId val="90012288"/>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'Supervisión y control G'!$C$18:$C$19</c15:sqref>
                        </c15:formulaRef>
                      </c:ext>
                    </c:extLst>
                    <c:strCache>
                      <c:ptCount val="2"/>
                      <c:pt idx="0">
                        <c:v>Cantidad de Help Desk</c:v>
                      </c:pt>
                      <c:pt idx="1">
                        <c:v>Equivalente 1/100</c:v>
                      </c:pt>
                    </c:strCache>
                  </c:strRef>
                </c:cat>
                <c:val>
                  <c:numRef>
                    <c:extLst xmlns:c16r2="http://schemas.microsoft.com/office/drawing/2015/06/chart">
                      <c:ext uri="{02D57815-91ED-43cb-92C2-25804820EDAC}">
                        <c15:formulaRef>
                          <c15:sqref>'Supervisión y control G'!$D$18:$D$19</c15:sqref>
                        </c15:formulaRef>
                      </c:ext>
                    </c:extLst>
                    <c:numCache>
                      <c:formatCode>General</c:formatCode>
                      <c:ptCount val="2"/>
                    </c:numCache>
                  </c:numRef>
                </c:val>
                <c:extLst xmlns:c16r2="http://schemas.microsoft.com/office/drawing/2015/06/chart">
                  <c:ext xmlns:c16="http://schemas.microsoft.com/office/drawing/2014/chart" uri="{C3380CC4-5D6E-409C-BE32-E72D297353CC}">
                    <c16:uniqueId val="{00000003-4CA3-4FC7-830A-4C4C679F795A}"/>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'Supervisión y control G'!$C$18:$C$19</c15:sqref>
                        </c15:formulaRef>
                      </c:ext>
                    </c:extLst>
                    <c:strCache>
                      <c:ptCount val="2"/>
                      <c:pt idx="0">
                        <c:v>Cantidad de Help Desk</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'Supervisión y control G'!$E$18:$E$19</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4-4CA3-4FC7-830A-4C4C679F795A}"/>
                  </c:ext>
                </c:extLst>
              </c15:ser>
            </c15:filteredBarSeries>
          </c:ext>
        </c:extLst>
      </c:barChart>
      <c:catAx>
        <c:axId val="900107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90012288"/>
        <c:crosses val="autoZero"/>
        <c:auto val="1"/>
        <c:lblAlgn val="ctr"/>
        <c:lblOffset val="100"/>
        <c:noMultiLvlLbl val="0"/>
      </c:catAx>
      <c:valAx>
        <c:axId val="90012288"/>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9001075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Gestión de leyes, reglamentos, resoluciones, convenios, acuerdos, contratos, instancias, actos, documentos legales y otros registros.</a:t>
            </a:r>
          </a:p>
        </c:rich>
      </c:tx>
      <c:layout>
        <c:manualLayout>
          <c:xMode val="edge"/>
          <c:yMode val="edge"/>
          <c:x val="0.14746295069386434"/>
          <c:y val="7.3727322546220178E-2"/>
        </c:manualLayout>
      </c:layout>
      <c:overlay val="0"/>
      <c:spPr>
        <a:noFill/>
        <a:ln>
          <a:noFill/>
        </a:ln>
        <a:effectLst/>
      </c:spPr>
    </c:title>
    <c:autoTitleDeleted val="0"/>
    <c:plotArea>
      <c:layout/>
      <c:barChart>
        <c:barDir val="bar"/>
        <c:grouping val="clustered"/>
        <c:varyColors val="0"/>
        <c:ser>
          <c:idx val="3"/>
          <c:order val="0"/>
          <c:spPr>
            <a:solidFill>
              <a:schemeClr val="accent4"/>
            </a:solidFill>
            <a:ln>
              <a:noFill/>
            </a:ln>
            <a:effectLst/>
          </c:spPr>
          <c:invertIfNegative val="0"/>
          <c:dPt>
            <c:idx val="0"/>
            <c:invertIfNegative val="0"/>
            <c:bubble3D val="0"/>
            <c:spPr>
              <a:solidFill>
                <a:srgbClr val="92D050"/>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D821-4A32-BC61-A922D8B67AB3}"/>
              </c:ext>
            </c:extLst>
          </c:dPt>
          <c:dPt>
            <c:idx val="1"/>
            <c:invertIfNegative val="0"/>
            <c:bubble3D val="0"/>
            <c:spPr>
              <a:solidFill>
                <a:schemeClr val="accent6">
                  <a:lumMod val="50000"/>
                </a:schemeClr>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3-D821-4A32-BC61-A922D8B67AB3}"/>
              </c:ext>
            </c:extLst>
          </c:dPt>
          <c:cat>
            <c:strRef>
              <c:f>Juridico!$C$2:$F$3</c:f>
              <c:strCache>
                <c:ptCount val="2"/>
                <c:pt idx="0">
                  <c:v>Porcentaje de documentos que cumplen con los requerimientos.</c:v>
                </c:pt>
                <c:pt idx="1">
                  <c:v>Equivalente 1/100</c:v>
                </c:pt>
              </c:strCache>
            </c:strRef>
          </c:cat>
          <c:val>
            <c:numRef>
              <c:f>Juridico!$G$2:$G$3</c:f>
              <c:numCache>
                <c:formatCode>0%</c:formatCode>
                <c:ptCount val="2"/>
                <c:pt idx="0">
                  <c:v>0.93</c:v>
                </c:pt>
                <c:pt idx="1">
                  <c:v>1</c:v>
                </c:pt>
              </c:numCache>
            </c:numRef>
          </c:val>
          <c:extLst xmlns:c16r2="http://schemas.microsoft.com/office/drawing/2015/06/chart">
            <c:ext xmlns:c16="http://schemas.microsoft.com/office/drawing/2014/chart" uri="{C3380CC4-5D6E-409C-BE32-E72D297353CC}">
              <c16:uniqueId val="{00000004-D821-4A32-BC61-A922D8B67AB3}"/>
            </c:ext>
          </c:extLst>
        </c:ser>
        <c:dLbls>
          <c:showLegendKey val="0"/>
          <c:showVal val="0"/>
          <c:showCatName val="0"/>
          <c:showSerName val="0"/>
          <c:showPercent val="0"/>
          <c:showBubbleSize val="0"/>
        </c:dLbls>
        <c:gapWidth val="182"/>
        <c:axId val="94571136"/>
        <c:axId val="96145792"/>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Juridico!$C$2:$F$3</c15:sqref>
                        </c15:formulaRef>
                      </c:ext>
                    </c:extLst>
                    <c:strCache>
                      <c:ptCount val="2"/>
                      <c:pt idx="0">
                        <c:v>Porcentaje de documentos que cumplen con los requerimientos.</c:v>
                      </c:pt>
                      <c:pt idx="1">
                        <c:v>Equivalente 1/100</c:v>
                      </c:pt>
                    </c:strCache>
                  </c:strRef>
                </c:cat>
                <c:val>
                  <c:numRef>
                    <c:extLst xmlns:c16r2="http://schemas.microsoft.com/office/drawing/2015/06/chart">
                      <c:ext uri="{02D57815-91ED-43cb-92C2-25804820EDAC}">
                        <c15:formulaRef>
                          <c15:sqref>Juridico!$D$2</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5-D821-4A32-BC61-A922D8B67AB3}"/>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Juridico!$C$2:$F$3</c15:sqref>
                        </c15:formulaRef>
                      </c:ext>
                    </c:extLst>
                    <c:strCache>
                      <c:ptCount val="2"/>
                      <c:pt idx="0">
                        <c:v>Porcentaje de documentos que cumplen con los requerimientos.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Juridico!$E$2</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6-D821-4A32-BC61-A922D8B67AB3}"/>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Juridico!$C$2:$F$3</c15:sqref>
                        </c15:formulaRef>
                      </c:ext>
                    </c:extLst>
                    <c:strCache>
                      <c:ptCount val="2"/>
                      <c:pt idx="0">
                        <c:v>Porcentaje de documentos que cumplen con los requerimientos.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Juridico!$F$2</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7-D821-4A32-BC61-A922D8B67AB3}"/>
                  </c:ext>
                </c:extLst>
              </c15:ser>
            </c15:filteredBarSeries>
          </c:ext>
        </c:extLst>
      </c:barChart>
      <c:catAx>
        <c:axId val="945711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96145792"/>
        <c:crosses val="autoZero"/>
        <c:auto val="1"/>
        <c:lblAlgn val="ctr"/>
        <c:lblOffset val="100"/>
        <c:noMultiLvlLbl val="0"/>
      </c:catAx>
      <c:valAx>
        <c:axId val="96145792"/>
        <c:scaling>
          <c:orientation val="minMax"/>
          <c:max val="1"/>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94571136"/>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mn-lt"/>
                <a:ea typeface="+mn-ea"/>
                <a:cs typeface="+mn-cs"/>
              </a:defRPr>
            </a:pPr>
            <a:r>
              <a:rPr lang="es-DO" b="1">
                <a:solidFill>
                  <a:schemeClr val="accent1">
                    <a:lumMod val="75000"/>
                  </a:schemeClr>
                </a:solidFill>
                <a:latin typeface="Times New Roman" panose="02020603050405020304" pitchFamily="18" charset="0"/>
                <a:cs typeface="Times New Roman" panose="02020603050405020304" pitchFamily="18" charset="0"/>
              </a:rPr>
              <a:t>Gestión de cumplimiento normativo</a:t>
            </a:r>
          </a:p>
        </c:rich>
      </c:tx>
      <c:overlay val="0"/>
      <c:spPr>
        <a:noFill/>
        <a:ln>
          <a:noFill/>
        </a:ln>
        <a:effectLst/>
      </c:spPr>
    </c:title>
    <c:autoTitleDeleted val="0"/>
    <c:plotArea>
      <c:layout/>
      <c:barChart>
        <c:barDir val="bar"/>
        <c:grouping val="clustered"/>
        <c:varyColors val="0"/>
        <c:ser>
          <c:idx val="4"/>
          <c:order val="0"/>
          <c:spPr>
            <a:solidFill>
              <a:schemeClr val="accent6">
                <a:lumMod val="50000"/>
              </a:schemeClr>
            </a:solidFill>
            <a:ln>
              <a:noFill/>
            </a:ln>
            <a:effectLst/>
            <a:scene3d>
              <a:camera prst="orthographicFront"/>
              <a:lightRig rig="threePt" dir="t"/>
            </a:scene3d>
            <a:sp3d>
              <a:bevelT/>
            </a:sp3d>
          </c:spPr>
          <c:invertIfNegative val="0"/>
          <c:dPt>
            <c:idx val="0"/>
            <c:invertIfNegative val="0"/>
            <c:bubble3D val="0"/>
            <c:spPr>
              <a:solidFill>
                <a:srgbClr val="92D050"/>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5-ABB3-480E-9938-6311DD4404D9}"/>
              </c:ext>
            </c:extLst>
          </c:dPt>
          <c:cat>
            <c:strRef>
              <c:f>Juridico!$C$19:$C$20</c:f>
              <c:strCache>
                <c:ptCount val="2"/>
                <c:pt idx="0">
                  <c:v>Documentos gestionados con calidad</c:v>
                </c:pt>
                <c:pt idx="1">
                  <c:v>Equivalente 1/100</c:v>
                </c:pt>
              </c:strCache>
            </c:strRef>
          </c:cat>
          <c:val>
            <c:numRef>
              <c:f>Juridico!$H$19:$H$20</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0-ABB3-480E-9938-6311DD4404D9}"/>
            </c:ext>
          </c:extLst>
        </c:ser>
        <c:dLbls>
          <c:showLegendKey val="0"/>
          <c:showVal val="0"/>
          <c:showCatName val="0"/>
          <c:showSerName val="0"/>
          <c:showPercent val="0"/>
          <c:showBubbleSize val="0"/>
        </c:dLbls>
        <c:gapWidth val="182"/>
        <c:axId val="110840832"/>
        <c:axId val="110863104"/>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Juridico!$C$19:$C$20</c15:sqref>
                        </c15:formulaRef>
                      </c:ext>
                    </c:extLst>
                    <c:strCache>
                      <c:ptCount val="2"/>
                      <c:pt idx="0">
                        <c:v>Documentos gestionados con calidad</c:v>
                      </c:pt>
                      <c:pt idx="1">
                        <c:v>Equivalente 1/100</c:v>
                      </c:pt>
                    </c:strCache>
                  </c:strRef>
                </c:cat>
                <c:val>
                  <c:numRef>
                    <c:extLst xmlns:c16r2="http://schemas.microsoft.com/office/drawing/2015/06/chart">
                      <c:ext uri="{02D57815-91ED-43cb-92C2-25804820EDAC}">
                        <c15:formulaRef>
                          <c15:sqref>Juridico!$D$19:$D$20</c15:sqref>
                        </c15:formulaRef>
                      </c:ext>
                    </c:extLst>
                    <c:numCache>
                      <c:formatCode>General</c:formatCode>
                      <c:ptCount val="2"/>
                    </c:numCache>
                  </c:numRef>
                </c:val>
                <c:extLst xmlns:c16r2="http://schemas.microsoft.com/office/drawing/2015/06/chart">
                  <c:ext xmlns:c16="http://schemas.microsoft.com/office/drawing/2014/chart" uri="{C3380CC4-5D6E-409C-BE32-E72D297353CC}">
                    <c16:uniqueId val="{00000001-ABB3-480E-9938-6311DD4404D9}"/>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Juridico!$C$19:$C$20</c15:sqref>
                        </c15:formulaRef>
                      </c:ext>
                    </c:extLst>
                    <c:strCache>
                      <c:ptCount val="2"/>
                      <c:pt idx="0">
                        <c:v>Documentos gestionados con calidad</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Juridico!$E$19:$E$20</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2-ABB3-480E-9938-6311DD4404D9}"/>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Juridico!$C$19:$C$20</c15:sqref>
                        </c15:formulaRef>
                      </c:ext>
                    </c:extLst>
                    <c:strCache>
                      <c:ptCount val="2"/>
                      <c:pt idx="0">
                        <c:v>Documentos gestionados con calidad</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Juridico!$F$19:$F$20</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3-ABB3-480E-9938-6311DD4404D9}"/>
                  </c:ext>
                </c:extLst>
              </c15:ser>
            </c15:filteredBarSeries>
            <c15:filteredBarSeries>
              <c15:ser>
                <c:idx val="3"/>
                <c:order val="3"/>
                <c:spPr>
                  <a:solidFill>
                    <a:schemeClr val="accent4"/>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Juridico!$C$19:$C$20</c15:sqref>
                        </c15:formulaRef>
                      </c:ext>
                    </c:extLst>
                    <c:strCache>
                      <c:ptCount val="2"/>
                      <c:pt idx="0">
                        <c:v>Documentos gestionados con calidad</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Juridico!$G$19:$G$20</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4-ABB3-480E-9938-6311DD4404D9}"/>
                  </c:ext>
                </c:extLst>
              </c15:ser>
            </c15:filteredBarSeries>
          </c:ext>
        </c:extLst>
      </c:barChart>
      <c:catAx>
        <c:axId val="1108408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0863104"/>
        <c:crosses val="autoZero"/>
        <c:auto val="1"/>
        <c:lblAlgn val="ctr"/>
        <c:lblOffset val="100"/>
        <c:noMultiLvlLbl val="0"/>
      </c:catAx>
      <c:valAx>
        <c:axId val="110863104"/>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0840832"/>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Cumplimiento</a:t>
            </a:r>
            <a:r>
              <a:rPr lang="es-DO" b="1" baseline="0">
                <a:solidFill>
                  <a:schemeClr val="accent1">
                    <a:lumMod val="75000"/>
                  </a:schemeClr>
                </a:solidFill>
                <a:latin typeface="Times New Roman" panose="02020603050405020304" pitchFamily="18" charset="0"/>
                <a:cs typeface="Times New Roman" panose="02020603050405020304" pitchFamily="18" charset="0"/>
              </a:rPr>
              <a:t> a los indicadores de gobiernos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bar"/>
        <c:grouping val="clustered"/>
        <c:varyColors val="0"/>
        <c:ser>
          <c:idx val="4"/>
          <c:order val="0"/>
          <c:spPr>
            <a:solidFill>
              <a:schemeClr val="accent5"/>
            </a:solidFill>
            <a:ln>
              <a:noFill/>
            </a:ln>
            <a:effectLst/>
            <a:scene3d>
              <a:camera prst="orthographicFront"/>
              <a:lightRig rig="threePt" dir="t"/>
            </a:scene3d>
            <a:sp3d>
              <a:bevelT/>
            </a:sp3d>
          </c:spPr>
          <c:invertIfNegative val="0"/>
          <c:dPt>
            <c:idx val="0"/>
            <c:invertIfNegative val="0"/>
            <c:bubble3D val="0"/>
            <c:spPr>
              <a:solidFill>
                <a:srgbClr val="92D050"/>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2380-46B7-968C-4E9A8A628A57}"/>
              </c:ext>
            </c:extLst>
          </c:dPt>
          <c:dPt>
            <c:idx val="1"/>
            <c:invertIfNegative val="0"/>
            <c:bubble3D val="0"/>
            <c:spPr>
              <a:solidFill>
                <a:schemeClr val="accent6">
                  <a:lumMod val="50000"/>
                </a:schemeClr>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3-2380-46B7-968C-4E9A8A628A57}"/>
              </c:ext>
            </c:extLst>
          </c:dPt>
          <c:cat>
            <c:strRef>
              <c:f>'Planificacion '!$C$3:$G$4</c:f>
              <c:strCache>
                <c:ptCount val="2"/>
                <c:pt idx="0">
                  <c:v>Porcentaje de cumplimiento</c:v>
                </c:pt>
                <c:pt idx="1">
                  <c:v>Equivalente 1/100</c:v>
                </c:pt>
              </c:strCache>
            </c:strRef>
          </c:cat>
          <c:val>
            <c:numRef>
              <c:f>'Planificacion '!$H$3:$H$4</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4-2380-46B7-968C-4E9A8A628A57}"/>
            </c:ext>
          </c:extLst>
        </c:ser>
        <c:dLbls>
          <c:showLegendKey val="0"/>
          <c:showVal val="0"/>
          <c:showCatName val="0"/>
          <c:showSerName val="0"/>
          <c:showPercent val="0"/>
          <c:showBubbleSize val="0"/>
        </c:dLbls>
        <c:gapWidth val="182"/>
        <c:axId val="111313280"/>
        <c:axId val="111314816"/>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'Planificacion '!$C$3:$G$4</c15:sqref>
                        </c15:formulaRef>
                      </c:ext>
                    </c:extLst>
                    <c:strCache>
                      <c:ptCount val="2"/>
                      <c:pt idx="0">
                        <c:v>Porcentaje de cumplimiento</c:v>
                      </c:pt>
                      <c:pt idx="1">
                        <c:v>Equivalente 1/100</c:v>
                      </c:pt>
                    </c:strCache>
                  </c:strRef>
                </c:cat>
                <c:val>
                  <c:numRef>
                    <c:extLst xmlns:c16r2="http://schemas.microsoft.com/office/drawing/2015/06/chart">
                      <c:ext uri="{02D57815-91ED-43cb-92C2-25804820EDAC}">
                        <c15:formulaRef>
                          <c15:sqref>'Planificacion '!$D$3</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5-2380-46B7-968C-4E9A8A628A57}"/>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'Planificacion '!$C$3:$G$4</c15:sqref>
                        </c15:formulaRef>
                      </c:ext>
                    </c:extLst>
                    <c:strCache>
                      <c:ptCount val="2"/>
                      <c:pt idx="0">
                        <c:v>Porcentaje de cumplimiento</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'Planificacion '!$E$3</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6-2380-46B7-968C-4E9A8A628A57}"/>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'Planificacion '!$C$3:$G$4</c15:sqref>
                        </c15:formulaRef>
                      </c:ext>
                    </c:extLst>
                    <c:strCache>
                      <c:ptCount val="2"/>
                      <c:pt idx="0">
                        <c:v>Porcentaje de cumplimiento</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'Planificacion '!$F$3</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7-2380-46B7-968C-4E9A8A628A57}"/>
                  </c:ext>
                </c:extLst>
              </c15:ser>
            </c15:filteredBarSeries>
            <c15:filteredBarSeries>
              <c15:ser>
                <c:idx val="3"/>
                <c:order val="3"/>
                <c:spPr>
                  <a:solidFill>
                    <a:schemeClr val="accent4"/>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'Planificacion '!$C$3:$G$4</c15:sqref>
                        </c15:formulaRef>
                      </c:ext>
                    </c:extLst>
                    <c:strCache>
                      <c:ptCount val="2"/>
                      <c:pt idx="0">
                        <c:v>Porcentaje de cumplimiento</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'Planificacion '!$G$3</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8-2380-46B7-968C-4E9A8A628A57}"/>
                  </c:ext>
                </c:extLst>
              </c15:ser>
            </c15:filteredBarSeries>
          </c:ext>
        </c:extLst>
      </c:barChart>
      <c:catAx>
        <c:axId val="1113132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1314816"/>
        <c:crosses val="autoZero"/>
        <c:auto val="1"/>
        <c:lblAlgn val="ctr"/>
        <c:lblOffset val="100"/>
        <c:noMultiLvlLbl val="0"/>
      </c:catAx>
      <c:valAx>
        <c:axId val="111314816"/>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1313280"/>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noFill/>
        </a:ln>
        <a:effectLst/>
      </c:spPr>
    </c:plotArea>
    <c:plotVisOnly val="1"/>
    <c:dispBlanksAs val="gap"/>
    <c:showDLblsOverMax val="0"/>
  </c:chart>
  <c:spPr>
    <a:gradFill flip="none" rotWithShape="1">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tileRect/>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Elaboración del PEI 2025-2028</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bar"/>
        <c:grouping val="clustered"/>
        <c:varyColors val="0"/>
        <c:ser>
          <c:idx val="5"/>
          <c:order val="0"/>
          <c:spPr>
            <a:solidFill>
              <a:schemeClr val="accent6">
                <a:lumMod val="50000"/>
              </a:schemeClr>
            </a:solidFill>
            <a:ln>
              <a:noFill/>
            </a:ln>
            <a:effectLst/>
            <a:scene3d>
              <a:camera prst="orthographicFront"/>
              <a:lightRig rig="threePt" dir="t"/>
            </a:scene3d>
            <a:sp3d>
              <a:bevelT/>
            </a:sp3d>
          </c:spPr>
          <c:invertIfNegative val="0"/>
          <c:dPt>
            <c:idx val="0"/>
            <c:invertIfNegative val="0"/>
            <c:bubble3D val="0"/>
            <c:spPr>
              <a:solidFill>
                <a:srgbClr val="92D050"/>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6F9C-4BF9-A3CA-0269ABA67DEC}"/>
              </c:ext>
            </c:extLst>
          </c:dPt>
          <c:cat>
            <c:strRef>
              <c:f>'Planificacion '!$C$19:$C$20</c:f>
              <c:strCache>
                <c:ptCount val="2"/>
                <c:pt idx="0">
                  <c:v>Cantidad de PEI</c:v>
                </c:pt>
                <c:pt idx="1">
                  <c:v>Equivalente 1/100</c:v>
                </c:pt>
              </c:strCache>
            </c:strRef>
          </c:cat>
          <c:val>
            <c:numRef>
              <c:f>'Planificacion '!$I$19:$I$20</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2-6F9C-4BF9-A3CA-0269ABA67DEC}"/>
            </c:ext>
          </c:extLst>
        </c:ser>
        <c:dLbls>
          <c:showLegendKey val="0"/>
          <c:showVal val="0"/>
          <c:showCatName val="0"/>
          <c:showSerName val="0"/>
          <c:showPercent val="0"/>
          <c:showBubbleSize val="0"/>
        </c:dLbls>
        <c:gapWidth val="182"/>
        <c:axId val="111932160"/>
        <c:axId val="111933696"/>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'Planificacion '!$C$19:$C$20</c15:sqref>
                        </c15:formulaRef>
                      </c:ext>
                    </c:extLst>
                    <c:strCache>
                      <c:ptCount val="2"/>
                      <c:pt idx="0">
                        <c:v>Cantidad de PEI</c:v>
                      </c:pt>
                      <c:pt idx="1">
                        <c:v>Equivalente 1/100</c:v>
                      </c:pt>
                    </c:strCache>
                  </c:strRef>
                </c:cat>
                <c:val>
                  <c:numRef>
                    <c:extLst xmlns:c16r2="http://schemas.microsoft.com/office/drawing/2015/06/chart">
                      <c:ext uri="{02D57815-91ED-43cb-92C2-25804820EDAC}">
                        <c15:formulaRef>
                          <c15:sqref>'Planificacion '!$D$19:$D$20</c15:sqref>
                        </c15:formulaRef>
                      </c:ext>
                    </c:extLst>
                    <c:numCache>
                      <c:formatCode>General</c:formatCode>
                      <c:ptCount val="2"/>
                    </c:numCache>
                  </c:numRef>
                </c:val>
                <c:extLst xmlns:c16r2="http://schemas.microsoft.com/office/drawing/2015/06/chart">
                  <c:ext xmlns:c16="http://schemas.microsoft.com/office/drawing/2014/chart" uri="{C3380CC4-5D6E-409C-BE32-E72D297353CC}">
                    <c16:uniqueId val="{00000003-6F9C-4BF9-A3CA-0269ABA67DEC}"/>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'Planificacion '!$C$19:$C$20</c15:sqref>
                        </c15:formulaRef>
                      </c:ext>
                    </c:extLst>
                    <c:strCache>
                      <c:ptCount val="2"/>
                      <c:pt idx="0">
                        <c:v>Cantidad de PEI</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'Planificacion '!$E$19:$E$20</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4-6F9C-4BF9-A3CA-0269ABA67DEC}"/>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'Planificacion '!$C$19:$C$20</c15:sqref>
                        </c15:formulaRef>
                      </c:ext>
                    </c:extLst>
                    <c:strCache>
                      <c:ptCount val="2"/>
                      <c:pt idx="0">
                        <c:v>Cantidad de PEI</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'Planificacion '!$F$19:$F$20</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5-6F9C-4BF9-A3CA-0269ABA67DEC}"/>
                  </c:ext>
                </c:extLst>
              </c15:ser>
            </c15:filteredBarSeries>
            <c15:filteredBarSeries>
              <c15:ser>
                <c:idx val="3"/>
                <c:order val="3"/>
                <c:spPr>
                  <a:solidFill>
                    <a:schemeClr val="accent4"/>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'Planificacion '!$C$19:$C$20</c15:sqref>
                        </c15:formulaRef>
                      </c:ext>
                    </c:extLst>
                    <c:strCache>
                      <c:ptCount val="2"/>
                      <c:pt idx="0">
                        <c:v>Cantidad de PEI</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'Planificacion '!$G$19:$G$20</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6-6F9C-4BF9-A3CA-0269ABA67DEC}"/>
                  </c:ext>
                </c:extLst>
              </c15:ser>
            </c15:filteredBarSeries>
            <c15:filteredBarSeries>
              <c15:ser>
                <c:idx val="4"/>
                <c:order val="4"/>
                <c:spPr>
                  <a:solidFill>
                    <a:schemeClr val="accent5"/>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'Planificacion '!$C$19:$C$20</c15:sqref>
                        </c15:formulaRef>
                      </c:ext>
                    </c:extLst>
                    <c:strCache>
                      <c:ptCount val="2"/>
                      <c:pt idx="0">
                        <c:v>Cantidad de PEI</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'Planificacion '!$H$19:$H$20</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7-6F9C-4BF9-A3CA-0269ABA67DEC}"/>
                  </c:ext>
                </c:extLst>
              </c15:ser>
            </c15:filteredBarSeries>
          </c:ext>
        </c:extLst>
      </c:barChart>
      <c:catAx>
        <c:axId val="1119321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1933696"/>
        <c:crosses val="autoZero"/>
        <c:auto val="1"/>
        <c:lblAlgn val="ctr"/>
        <c:lblOffset val="100"/>
        <c:noMultiLvlLbl val="0"/>
      </c:catAx>
      <c:valAx>
        <c:axId val="111933696"/>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1932160"/>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noFill/>
        </a:ln>
        <a:effectLst/>
      </c:spPr>
    </c:plotArea>
    <c:plotVisOnly val="1"/>
    <c:dispBlanksAs val="gap"/>
    <c:showDLblsOverMax val="0"/>
  </c:chart>
  <c:spPr>
    <a:gradFill flip="none" rotWithShape="1">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tileRect/>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Elaboración del POA 2025</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bar"/>
        <c:grouping val="clustered"/>
        <c:varyColors val="0"/>
        <c:ser>
          <c:idx val="5"/>
          <c:order val="0"/>
          <c:spPr>
            <a:solidFill>
              <a:schemeClr val="accent6"/>
            </a:solidFill>
            <a:ln>
              <a:noFill/>
            </a:ln>
            <a:effectLst/>
          </c:spPr>
          <c:invertIfNegative val="0"/>
          <c:dPt>
            <c:idx val="0"/>
            <c:invertIfNegative val="0"/>
            <c:bubble3D val="0"/>
            <c:spPr>
              <a:solidFill>
                <a:schemeClr val="accent6"/>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53CD-42E0-86D6-59B8C8C02915}"/>
              </c:ext>
            </c:extLst>
          </c:dPt>
          <c:dPt>
            <c:idx val="1"/>
            <c:invertIfNegative val="0"/>
            <c:bubble3D val="0"/>
            <c:spPr>
              <a:solidFill>
                <a:schemeClr val="accent6">
                  <a:lumMod val="50000"/>
                </a:schemeClr>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3-53CD-42E0-86D6-59B8C8C02915}"/>
              </c:ext>
            </c:extLst>
          </c:dPt>
          <c:cat>
            <c:strRef>
              <c:f>'Planificacion '!$C$34:$C$35</c:f>
              <c:strCache>
                <c:ptCount val="2"/>
                <c:pt idx="0">
                  <c:v>Cantidad de sistema instalado</c:v>
                </c:pt>
                <c:pt idx="1">
                  <c:v>Equivalente 1/100</c:v>
                </c:pt>
              </c:strCache>
            </c:strRef>
          </c:cat>
          <c:val>
            <c:numRef>
              <c:f>'Planificacion '!$I$34:$I$35</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4-53CD-42E0-86D6-59B8C8C02915}"/>
            </c:ext>
          </c:extLst>
        </c:ser>
        <c:dLbls>
          <c:showLegendKey val="0"/>
          <c:showVal val="0"/>
          <c:showCatName val="0"/>
          <c:showSerName val="0"/>
          <c:showPercent val="0"/>
          <c:showBubbleSize val="0"/>
        </c:dLbls>
        <c:gapWidth val="219"/>
        <c:axId val="112408448"/>
        <c:axId val="112409984"/>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'Planificacion '!$C$34:$C$35</c15:sqref>
                        </c15:formulaRef>
                      </c:ext>
                    </c:extLst>
                    <c:strCache>
                      <c:ptCount val="2"/>
                      <c:pt idx="0">
                        <c:v>Cantidad de sistema instalado</c:v>
                      </c:pt>
                      <c:pt idx="1">
                        <c:v>Equivalente 1/100</c:v>
                      </c:pt>
                    </c:strCache>
                  </c:strRef>
                </c:cat>
                <c:val>
                  <c:numRef>
                    <c:extLst xmlns:c16r2="http://schemas.microsoft.com/office/drawing/2015/06/chart">
                      <c:ext uri="{02D57815-91ED-43cb-92C2-25804820EDAC}">
                        <c15:formulaRef>
                          <c15:sqref>'Planificacion '!$D$34:$D$35</c15:sqref>
                        </c15:formulaRef>
                      </c:ext>
                    </c:extLst>
                    <c:numCache>
                      <c:formatCode>General</c:formatCode>
                      <c:ptCount val="2"/>
                    </c:numCache>
                  </c:numRef>
                </c:val>
                <c:extLst xmlns:c16r2="http://schemas.microsoft.com/office/drawing/2015/06/chart">
                  <c:ext xmlns:c16="http://schemas.microsoft.com/office/drawing/2014/chart" uri="{C3380CC4-5D6E-409C-BE32-E72D297353CC}">
                    <c16:uniqueId val="{00000005-53CD-42E0-86D6-59B8C8C02915}"/>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'Planificacion '!$C$34:$C$35</c15:sqref>
                        </c15:formulaRef>
                      </c:ext>
                    </c:extLst>
                    <c:strCache>
                      <c:ptCount val="2"/>
                      <c:pt idx="0">
                        <c:v>Cantidad de sistema instalado</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'Planificacion '!$E$34:$E$35</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6-53CD-42E0-86D6-59B8C8C02915}"/>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'Planificacion '!$C$34:$C$35</c15:sqref>
                        </c15:formulaRef>
                      </c:ext>
                    </c:extLst>
                    <c:strCache>
                      <c:ptCount val="2"/>
                      <c:pt idx="0">
                        <c:v>Cantidad de sistema instalado</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'Planificacion '!$F$34:$F$35</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7-53CD-42E0-86D6-59B8C8C02915}"/>
                  </c:ext>
                </c:extLst>
              </c15:ser>
            </c15:filteredBarSeries>
            <c15:filteredBarSeries>
              <c15:ser>
                <c:idx val="3"/>
                <c:order val="3"/>
                <c:spPr>
                  <a:solidFill>
                    <a:schemeClr val="accent4"/>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'Planificacion '!$C$34:$C$35</c15:sqref>
                        </c15:formulaRef>
                      </c:ext>
                    </c:extLst>
                    <c:strCache>
                      <c:ptCount val="2"/>
                      <c:pt idx="0">
                        <c:v>Cantidad de sistema instalado</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'Planificacion '!$G$34:$G$35</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8-53CD-42E0-86D6-59B8C8C02915}"/>
                  </c:ext>
                </c:extLst>
              </c15:ser>
            </c15:filteredBarSeries>
            <c15:filteredBarSeries>
              <c15:ser>
                <c:idx val="4"/>
                <c:order val="4"/>
                <c:spPr>
                  <a:solidFill>
                    <a:schemeClr val="accent5"/>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'Planificacion '!$C$34:$C$35</c15:sqref>
                        </c15:formulaRef>
                      </c:ext>
                    </c:extLst>
                    <c:strCache>
                      <c:ptCount val="2"/>
                      <c:pt idx="0">
                        <c:v>Cantidad de sistema instalado</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'Planificacion '!$H$34:$H$35</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9-53CD-42E0-86D6-59B8C8C02915}"/>
                  </c:ext>
                </c:extLst>
              </c15:ser>
            </c15:filteredBarSeries>
          </c:ext>
        </c:extLst>
      </c:barChart>
      <c:catAx>
        <c:axId val="112408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2409984"/>
        <c:crosses val="autoZero"/>
        <c:auto val="1"/>
        <c:lblAlgn val="ctr"/>
        <c:lblOffset val="100"/>
        <c:noMultiLvlLbl val="0"/>
      </c:catAx>
      <c:valAx>
        <c:axId val="112409984"/>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2408448"/>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noFill/>
        </a:ln>
        <a:effectLst/>
      </c:spPr>
    </c:plotArea>
    <c:plotVisOnly val="1"/>
    <c:dispBlanksAs val="gap"/>
    <c:showDLblsOverMax val="0"/>
  </c:chart>
  <c:spPr>
    <a:gradFill flip="none" rotWithShape="1">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tileRect/>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Aplicación de encuestas de satisfacción del ciudadano</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bar"/>
        <c:grouping val="clustered"/>
        <c:varyColors val="0"/>
        <c:ser>
          <c:idx val="2"/>
          <c:order val="0"/>
          <c:spPr>
            <a:solidFill>
              <a:schemeClr val="accent3"/>
            </a:solidFill>
            <a:ln>
              <a:noFill/>
            </a:ln>
            <a:effectLst/>
            <a:scene3d>
              <a:camera prst="orthographicFront"/>
              <a:lightRig rig="threePt" dir="t"/>
            </a:scene3d>
            <a:sp3d>
              <a:bevelT/>
            </a:sp3d>
          </c:spPr>
          <c:invertIfNegative val="0"/>
          <c:dPt>
            <c:idx val="0"/>
            <c:invertIfNegative val="0"/>
            <c:bubble3D val="0"/>
            <c:spPr>
              <a:solidFill>
                <a:schemeClr val="accent6">
                  <a:lumMod val="75000"/>
                </a:schemeClr>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3B69-4408-8299-DB84BE60DE5F}"/>
              </c:ext>
            </c:extLst>
          </c:dPt>
          <c:dPt>
            <c:idx val="1"/>
            <c:invertIfNegative val="0"/>
            <c:bubble3D val="0"/>
            <c:spPr>
              <a:solidFill>
                <a:schemeClr val="accent6">
                  <a:lumMod val="50000"/>
                </a:schemeClr>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3-3B69-4408-8299-DB84BE60DE5F}"/>
              </c:ext>
            </c:extLst>
          </c:dPt>
          <c:cat>
            <c:strRef>
              <c:f>'Planificacion '!$C$51:$E$52</c:f>
              <c:strCache>
                <c:ptCount val="2"/>
                <c:pt idx="0">
                  <c:v>Porcentaje de encuestas de satisfacción realizadas</c:v>
                </c:pt>
                <c:pt idx="1">
                  <c:v>Equivalente 1/100</c:v>
                </c:pt>
              </c:strCache>
            </c:strRef>
          </c:cat>
          <c:val>
            <c:numRef>
              <c:f>'Planificacion '!$F$51:$F$52</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4-3B69-4408-8299-DB84BE60DE5F}"/>
            </c:ext>
          </c:extLst>
        </c:ser>
        <c:dLbls>
          <c:showLegendKey val="0"/>
          <c:showVal val="0"/>
          <c:showCatName val="0"/>
          <c:showSerName val="0"/>
          <c:showPercent val="0"/>
          <c:showBubbleSize val="0"/>
        </c:dLbls>
        <c:gapWidth val="182"/>
        <c:axId val="112348160"/>
        <c:axId val="112354048"/>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'Planificacion '!$C$51:$E$52</c15:sqref>
                        </c15:formulaRef>
                      </c:ext>
                    </c:extLst>
                    <c:strCache>
                      <c:ptCount val="2"/>
                      <c:pt idx="0">
                        <c:v>Porcentaje de encuestas de satisfacción realizadas</c:v>
                      </c:pt>
                      <c:pt idx="1">
                        <c:v>Equivalente 1/100</c:v>
                      </c:pt>
                    </c:strCache>
                  </c:strRef>
                </c:cat>
                <c:val>
                  <c:numRef>
                    <c:extLst xmlns:c16r2="http://schemas.microsoft.com/office/drawing/2015/06/chart">
                      <c:ext uri="{02D57815-91ED-43cb-92C2-25804820EDAC}">
                        <c15:formulaRef>
                          <c15:sqref>'Planificacion '!$D$51</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5-3B69-4408-8299-DB84BE60DE5F}"/>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'Planificacion '!$C$51:$E$52</c15:sqref>
                        </c15:formulaRef>
                      </c:ext>
                    </c:extLst>
                    <c:strCache>
                      <c:ptCount val="2"/>
                      <c:pt idx="0">
                        <c:v>Porcentaje de encuestas de satisfacción realizadas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'Planificacion '!$E$51</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6-3B69-4408-8299-DB84BE60DE5F}"/>
                  </c:ext>
                </c:extLst>
              </c15:ser>
            </c15:filteredBarSeries>
          </c:ext>
        </c:extLst>
      </c:barChart>
      <c:catAx>
        <c:axId val="1123481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2354048"/>
        <c:crosses val="autoZero"/>
        <c:auto val="1"/>
        <c:lblAlgn val="ctr"/>
        <c:lblOffset val="100"/>
        <c:noMultiLvlLbl val="0"/>
      </c:catAx>
      <c:valAx>
        <c:axId val="112354048"/>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2348160"/>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noFill/>
        </a:ln>
        <a:effectLst/>
      </c:spPr>
    </c:plotArea>
    <c:plotVisOnly val="1"/>
    <c:dispBlanksAs val="gap"/>
    <c:showDLblsOverMax val="0"/>
  </c:chart>
  <c:spPr>
    <a:gradFill flip="none" rotWithShape="1">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tileRect/>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Seguimiento</a:t>
            </a:r>
            <a:r>
              <a:rPr lang="es-DO" b="1" baseline="0">
                <a:solidFill>
                  <a:schemeClr val="accent1">
                    <a:lumMod val="75000"/>
                  </a:schemeClr>
                </a:solidFill>
                <a:latin typeface="Times New Roman" panose="02020603050405020304" pitchFamily="18" charset="0"/>
                <a:cs typeface="Times New Roman" panose="02020603050405020304" pitchFamily="18" charset="0"/>
              </a:rPr>
              <a:t> y Monitoreo del Pasaporte electronico</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522246490464012"/>
          <c:y val="3.5242290748898682E-2"/>
        </c:manualLayout>
      </c:layout>
      <c:overlay val="0"/>
      <c:spPr>
        <a:noFill/>
        <a:ln>
          <a:noFill/>
        </a:ln>
        <a:effectLst/>
      </c:spPr>
    </c:title>
    <c:autoTitleDeleted val="0"/>
    <c:plotArea>
      <c:layout/>
      <c:barChart>
        <c:barDir val="bar"/>
        <c:grouping val="clustered"/>
        <c:varyColors val="0"/>
        <c:ser>
          <c:idx val="3"/>
          <c:order val="0"/>
          <c:spPr>
            <a:solidFill>
              <a:schemeClr val="accent4"/>
            </a:solidFill>
            <a:ln>
              <a:noFill/>
            </a:ln>
            <a:effectLst/>
            <a:scene3d>
              <a:camera prst="orthographicFront"/>
              <a:lightRig rig="threePt" dir="t"/>
            </a:scene3d>
            <a:sp3d>
              <a:bevelT/>
            </a:sp3d>
          </c:spPr>
          <c:invertIfNegative val="0"/>
          <c:dPt>
            <c:idx val="0"/>
            <c:invertIfNegative val="0"/>
            <c:bubble3D val="0"/>
            <c:spPr>
              <a:solidFill>
                <a:srgbClr val="92D050"/>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E873-4C03-83A0-14494EFB01EC}"/>
              </c:ext>
            </c:extLst>
          </c:dPt>
          <c:dPt>
            <c:idx val="1"/>
            <c:invertIfNegative val="0"/>
            <c:bubble3D val="0"/>
            <c:spPr>
              <a:solidFill>
                <a:schemeClr val="accent6">
                  <a:lumMod val="50000"/>
                </a:schemeClr>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3-E873-4C03-83A0-14494EFB01EC}"/>
              </c:ext>
            </c:extLst>
          </c:dPt>
          <c:cat>
            <c:strRef>
              <c:f>'Planificacion '!$C$67:$C$68</c:f>
              <c:strCache>
                <c:ptCount val="2"/>
                <c:pt idx="0">
                  <c:v>Porcentaje de requerimientos elaborados</c:v>
                </c:pt>
                <c:pt idx="1">
                  <c:v>Equivalente 1/100</c:v>
                </c:pt>
              </c:strCache>
            </c:strRef>
          </c:cat>
          <c:val>
            <c:numRef>
              <c:f>'Planificacion '!$G$67:$G$68</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4-E873-4C03-83A0-14494EFB01EC}"/>
            </c:ext>
          </c:extLst>
        </c:ser>
        <c:dLbls>
          <c:showLegendKey val="0"/>
          <c:showVal val="0"/>
          <c:showCatName val="0"/>
          <c:showSerName val="0"/>
          <c:showPercent val="0"/>
          <c:showBubbleSize val="0"/>
        </c:dLbls>
        <c:gapWidth val="182"/>
        <c:axId val="113320320"/>
        <c:axId val="113321856"/>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'Planificacion '!$C$67:$C$68</c15:sqref>
                        </c15:formulaRef>
                      </c:ext>
                    </c:extLst>
                    <c:strCache>
                      <c:ptCount val="2"/>
                      <c:pt idx="0">
                        <c:v>Porcentaje de requerimientos elaborados</c:v>
                      </c:pt>
                      <c:pt idx="1">
                        <c:v>Equivalente 1/100</c:v>
                      </c:pt>
                    </c:strCache>
                  </c:strRef>
                </c:cat>
                <c:val>
                  <c:numRef>
                    <c:extLst xmlns:c16r2="http://schemas.microsoft.com/office/drawing/2015/06/chart">
                      <c:ext uri="{02D57815-91ED-43cb-92C2-25804820EDAC}">
                        <c15:formulaRef>
                          <c15:sqref>'Planificacion '!$D$67:$D$68</c15:sqref>
                        </c15:formulaRef>
                      </c:ext>
                    </c:extLst>
                    <c:numCache>
                      <c:formatCode>General</c:formatCode>
                      <c:ptCount val="2"/>
                    </c:numCache>
                  </c:numRef>
                </c:val>
                <c:extLst xmlns:c16r2="http://schemas.microsoft.com/office/drawing/2015/06/chart">
                  <c:ext xmlns:c16="http://schemas.microsoft.com/office/drawing/2014/chart" uri="{C3380CC4-5D6E-409C-BE32-E72D297353CC}">
                    <c16:uniqueId val="{00000005-E873-4C03-83A0-14494EFB01EC}"/>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'Planificacion '!$C$67:$C$68</c15:sqref>
                        </c15:formulaRef>
                      </c:ext>
                    </c:extLst>
                    <c:strCache>
                      <c:ptCount val="2"/>
                      <c:pt idx="0">
                        <c:v>Porcentaje de requerimientos elaborados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'Planificacion '!$E$67:$E$68</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6-E873-4C03-83A0-14494EFB01EC}"/>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'Planificacion '!$C$67:$C$68</c15:sqref>
                        </c15:formulaRef>
                      </c:ext>
                    </c:extLst>
                    <c:strCache>
                      <c:ptCount val="2"/>
                      <c:pt idx="0">
                        <c:v>Porcentaje de requerimientos elaborados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'Planificacion '!$F$67:$F$68</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7-E873-4C03-83A0-14494EFB01EC}"/>
                  </c:ext>
                </c:extLst>
              </c15:ser>
            </c15:filteredBarSeries>
          </c:ext>
        </c:extLst>
      </c:barChart>
      <c:catAx>
        <c:axId val="1133203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3321856"/>
        <c:crosses val="autoZero"/>
        <c:auto val="1"/>
        <c:lblAlgn val="ctr"/>
        <c:lblOffset val="100"/>
        <c:noMultiLvlLbl val="0"/>
      </c:catAx>
      <c:valAx>
        <c:axId val="113321856"/>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3320320"/>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noFill/>
        </a:ln>
        <a:effectLst/>
      </c:spPr>
    </c:plotArea>
    <c:plotVisOnly val="1"/>
    <c:dispBlanksAs val="gap"/>
    <c:showDLblsOverMax val="0"/>
  </c:chart>
  <c:spPr>
    <a:gradFill flip="none" rotWithShape="1">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tileRect/>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Certificación de calidad ISO 9001 </a:t>
            </a:r>
            <a:r>
              <a:rPr lang="es-DO" b="1" baseline="0">
                <a:solidFill>
                  <a:schemeClr val="accent1">
                    <a:lumMod val="75000"/>
                  </a:schemeClr>
                </a:solidFill>
                <a:latin typeface="Times New Roman" panose="02020603050405020304" pitchFamily="18" charset="0"/>
                <a:cs typeface="Times New Roman" panose="02020603050405020304" pitchFamily="18" charset="0"/>
              </a:rPr>
              <a:t> </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bar"/>
        <c:grouping val="clustered"/>
        <c:varyColors val="0"/>
        <c:ser>
          <c:idx val="3"/>
          <c:order val="0"/>
          <c:spPr>
            <a:solidFill>
              <a:schemeClr val="accent6">
                <a:lumMod val="50000"/>
              </a:schemeClr>
            </a:solidFill>
            <a:ln>
              <a:noFill/>
            </a:ln>
            <a:effectLst/>
            <a:scene3d>
              <a:camera prst="orthographicFront"/>
              <a:lightRig rig="threePt" dir="t"/>
            </a:scene3d>
            <a:sp3d>
              <a:bevelT/>
              <a:bevelB/>
            </a:sp3d>
          </c:spPr>
          <c:invertIfNegative val="0"/>
          <c:dPt>
            <c:idx val="0"/>
            <c:invertIfNegative val="0"/>
            <c:bubble3D val="0"/>
            <c:extLst xmlns:c16r2="http://schemas.microsoft.com/office/drawing/2015/06/chart">
              <c:ext xmlns:c16="http://schemas.microsoft.com/office/drawing/2014/chart" uri="{C3380CC4-5D6E-409C-BE32-E72D297353CC}">
                <c16:uniqueId val="{00000001-39AB-4FA7-A627-460C125A0A12}"/>
              </c:ext>
            </c:extLst>
          </c:dPt>
          <c:cat>
            <c:strRef>
              <c:f>'Planificacion '!$C$84:$C$85</c:f>
              <c:strCache>
                <c:ptCount val="2"/>
                <c:pt idx="0">
                  <c:v>Porcentaje de documentos aprobado</c:v>
                </c:pt>
                <c:pt idx="1">
                  <c:v>Equivalente 1/100</c:v>
                </c:pt>
              </c:strCache>
            </c:strRef>
          </c:cat>
          <c:val>
            <c:numRef>
              <c:f>'Planificacion '!$G$84:$G$85</c:f>
              <c:numCache>
                <c:formatCode>0%</c:formatCode>
                <c:ptCount val="2"/>
                <c:pt idx="0">
                  <c:v>0</c:v>
                </c:pt>
                <c:pt idx="1">
                  <c:v>1</c:v>
                </c:pt>
              </c:numCache>
            </c:numRef>
          </c:val>
          <c:extLst xmlns:c16r2="http://schemas.microsoft.com/office/drawing/2015/06/chart">
            <c:ext xmlns:c16="http://schemas.microsoft.com/office/drawing/2014/chart" uri="{C3380CC4-5D6E-409C-BE32-E72D297353CC}">
              <c16:uniqueId val="{00000002-39AB-4FA7-A627-460C125A0A12}"/>
            </c:ext>
          </c:extLst>
        </c:ser>
        <c:dLbls>
          <c:showLegendKey val="0"/>
          <c:showVal val="0"/>
          <c:showCatName val="0"/>
          <c:showSerName val="0"/>
          <c:showPercent val="0"/>
          <c:showBubbleSize val="0"/>
        </c:dLbls>
        <c:gapWidth val="182"/>
        <c:axId val="114008448"/>
        <c:axId val="114009984"/>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'Planificacion '!$C$84:$C$85</c15:sqref>
                        </c15:formulaRef>
                      </c:ext>
                    </c:extLst>
                    <c:strCache>
                      <c:ptCount val="2"/>
                      <c:pt idx="0">
                        <c:v>Porcentaje de documentos aprobado</c:v>
                      </c:pt>
                      <c:pt idx="1">
                        <c:v>Equivalente 1/100</c:v>
                      </c:pt>
                    </c:strCache>
                  </c:strRef>
                </c:cat>
                <c:val>
                  <c:numRef>
                    <c:extLst xmlns:c16r2="http://schemas.microsoft.com/office/drawing/2015/06/chart">
                      <c:ext uri="{02D57815-91ED-43cb-92C2-25804820EDAC}">
                        <c15:formulaRef>
                          <c15:sqref>'Planificacion '!$D$84:$D$85</c15:sqref>
                        </c15:formulaRef>
                      </c:ext>
                    </c:extLst>
                    <c:numCache>
                      <c:formatCode>General</c:formatCode>
                      <c:ptCount val="2"/>
                    </c:numCache>
                  </c:numRef>
                </c:val>
                <c:extLst xmlns:c16r2="http://schemas.microsoft.com/office/drawing/2015/06/chart">
                  <c:ext xmlns:c16="http://schemas.microsoft.com/office/drawing/2014/chart" uri="{C3380CC4-5D6E-409C-BE32-E72D297353CC}">
                    <c16:uniqueId val="{00000003-39AB-4FA7-A627-460C125A0A12}"/>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'Planificacion '!$C$84:$C$85</c15:sqref>
                        </c15:formulaRef>
                      </c:ext>
                    </c:extLst>
                    <c:strCache>
                      <c:ptCount val="2"/>
                      <c:pt idx="0">
                        <c:v>Porcentaje de documentos aprobado</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'Planificacion '!$E$84:$E$85</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4-39AB-4FA7-A627-460C125A0A12}"/>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'Planificacion '!$C$84:$C$85</c15:sqref>
                        </c15:formulaRef>
                      </c:ext>
                    </c:extLst>
                    <c:strCache>
                      <c:ptCount val="2"/>
                      <c:pt idx="0">
                        <c:v>Porcentaje de documentos aprobado</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'Planificacion '!$F$84:$F$85</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5-39AB-4FA7-A627-460C125A0A12}"/>
                  </c:ext>
                </c:extLst>
              </c15:ser>
            </c15:filteredBarSeries>
          </c:ext>
        </c:extLst>
      </c:barChart>
      <c:catAx>
        <c:axId val="114008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4009984"/>
        <c:crosses val="autoZero"/>
        <c:auto val="1"/>
        <c:lblAlgn val="ctr"/>
        <c:lblOffset val="100"/>
        <c:noMultiLvlLbl val="0"/>
      </c:catAx>
      <c:valAx>
        <c:axId val="114009984"/>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400844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noFill/>
        </a:ln>
        <a:effectLst/>
      </c:spPr>
    </c:plotArea>
    <c:plotVisOnly val="1"/>
    <c:dispBlanksAs val="gap"/>
    <c:showDLblsOverMax val="0"/>
  </c:chart>
  <c:spPr>
    <a:gradFill flip="none" rotWithShape="1">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tileRect/>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Beneficios</a:t>
            </a:r>
            <a:r>
              <a:rPr lang="es-DO" b="1" baseline="0">
                <a:solidFill>
                  <a:schemeClr val="accent1">
                    <a:lumMod val="75000"/>
                  </a:schemeClr>
                </a:solidFill>
                <a:latin typeface="Times New Roman" panose="02020603050405020304" pitchFamily="18" charset="0"/>
                <a:cs typeface="Times New Roman" panose="02020603050405020304" pitchFamily="18" charset="0"/>
              </a:rPr>
              <a:t> Laborales.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33103853870632921"/>
          <c:y val="9.3383561905322029E-2"/>
        </c:manualLayout>
      </c:layout>
      <c:overlay val="0"/>
      <c:spPr>
        <a:noFill/>
        <a:ln>
          <a:noFill/>
        </a:ln>
        <a:effectLst/>
      </c:spPr>
    </c:title>
    <c:autoTitleDeleted val="0"/>
    <c:plotArea>
      <c:layout/>
      <c:barChart>
        <c:barDir val="bar"/>
        <c:grouping val="clustered"/>
        <c:varyColors val="0"/>
        <c:ser>
          <c:idx val="3"/>
          <c:order val="0"/>
          <c:spPr>
            <a:solidFill>
              <a:schemeClr val="accent4"/>
            </a:solidFill>
            <a:ln>
              <a:noFill/>
            </a:ln>
            <a:effectLst/>
          </c:spPr>
          <c:invertIfNegative val="0"/>
          <c:dPt>
            <c:idx val="0"/>
            <c:invertIfNegative val="0"/>
            <c:bubble3D val="0"/>
            <c:spPr>
              <a:solidFill>
                <a:srgbClr val="92D050"/>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136C-4587-9F85-4A24FFDA61EF}"/>
              </c:ext>
            </c:extLst>
          </c:dPt>
          <c:dPt>
            <c:idx val="1"/>
            <c:invertIfNegative val="0"/>
            <c:bubble3D val="0"/>
            <c:spPr>
              <a:solidFill>
                <a:schemeClr val="accent6">
                  <a:lumMod val="50000"/>
                </a:schemeClr>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3-136C-4587-9F85-4A24FFDA61EF}"/>
              </c:ext>
            </c:extLst>
          </c:dPt>
          <c:cat>
            <c:strRef>
              <c:f>RRHH!$C$2:$C$3</c:f>
              <c:strCache>
                <c:ptCount val="2"/>
                <c:pt idx="0">
                  <c:v>Cantidad de Beneficios Otorgados</c:v>
                </c:pt>
                <c:pt idx="1">
                  <c:v>Equivalente 1/100</c:v>
                </c:pt>
              </c:strCache>
            </c:strRef>
          </c:cat>
          <c:val>
            <c:numRef>
              <c:f>RRHH!$G$2:$G$3</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4-136C-4587-9F85-4A24FFDA61EF}"/>
            </c:ext>
          </c:extLst>
        </c:ser>
        <c:dLbls>
          <c:showLegendKey val="0"/>
          <c:showVal val="0"/>
          <c:showCatName val="0"/>
          <c:showSerName val="0"/>
          <c:showPercent val="0"/>
          <c:showBubbleSize val="0"/>
        </c:dLbls>
        <c:gapWidth val="182"/>
        <c:axId val="113943680"/>
        <c:axId val="113945216"/>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RRHH!$C$2:$C$3</c15:sqref>
                        </c15:formulaRef>
                      </c:ext>
                    </c:extLst>
                    <c:strCache>
                      <c:ptCount val="2"/>
                      <c:pt idx="0">
                        <c:v>Cantidad de Beneficios Otorgados</c:v>
                      </c:pt>
                      <c:pt idx="1">
                        <c:v>Equivalente 1/100</c:v>
                      </c:pt>
                    </c:strCache>
                  </c:strRef>
                </c:cat>
                <c:val>
                  <c:numRef>
                    <c:extLst xmlns:c16r2="http://schemas.microsoft.com/office/drawing/2015/06/chart">
                      <c:ext uri="{02D57815-91ED-43cb-92C2-25804820EDAC}">
                        <c15:formulaRef>
                          <c15:sqref>RRHH!$D$2:$D$3</c15:sqref>
                        </c15:formulaRef>
                      </c:ext>
                    </c:extLst>
                    <c:numCache>
                      <c:formatCode>General</c:formatCode>
                      <c:ptCount val="2"/>
                    </c:numCache>
                  </c:numRef>
                </c:val>
                <c:extLst xmlns:c16r2="http://schemas.microsoft.com/office/drawing/2015/06/chart">
                  <c:ext xmlns:c16="http://schemas.microsoft.com/office/drawing/2014/chart" uri="{C3380CC4-5D6E-409C-BE32-E72D297353CC}">
                    <c16:uniqueId val="{00000005-136C-4587-9F85-4A24FFDA61EF}"/>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RRHH!$C$2:$C$3</c15:sqref>
                        </c15:formulaRef>
                      </c:ext>
                    </c:extLst>
                    <c:strCache>
                      <c:ptCount val="2"/>
                      <c:pt idx="0">
                        <c:v>Cantidad de Beneficios Otorgados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RRHH!$E$2:$E$3</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6-136C-4587-9F85-4A24FFDA61EF}"/>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RRHH!$C$2:$C$3</c15:sqref>
                        </c15:formulaRef>
                      </c:ext>
                    </c:extLst>
                    <c:strCache>
                      <c:ptCount val="2"/>
                      <c:pt idx="0">
                        <c:v>Cantidad de Beneficios Otorgados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RRHH!$F$2:$F$3</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7-136C-4587-9F85-4A24FFDA61EF}"/>
                  </c:ext>
                </c:extLst>
              </c15:ser>
            </c15:filteredBarSeries>
          </c:ext>
        </c:extLst>
      </c:barChart>
      <c:catAx>
        <c:axId val="1139436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3945216"/>
        <c:crosses val="autoZero"/>
        <c:auto val="1"/>
        <c:lblAlgn val="ctr"/>
        <c:lblOffset val="100"/>
        <c:noMultiLvlLbl val="0"/>
      </c:catAx>
      <c:valAx>
        <c:axId val="113945216"/>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3943680"/>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Fortalecimiento Intitucional</a:t>
            </a:r>
          </a:p>
        </c:rich>
      </c:tx>
      <c:overlay val="0"/>
      <c:spPr>
        <a:noFill/>
        <a:ln>
          <a:noFill/>
        </a:ln>
        <a:effectLst/>
      </c:sp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1"/>
            <c:invertIfNegative val="0"/>
            <c:bubble3D val="0"/>
            <c:spPr>
              <a:solidFill>
                <a:schemeClr val="accent2">
                  <a:lumMod val="75000"/>
                </a:schemeClr>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1472-499E-9235-BF0A79EF13E9}"/>
              </c:ext>
            </c:extLst>
          </c:dPt>
          <c:dLbls>
            <c:dLbl>
              <c:idx val="0"/>
              <c:tx>
                <c:rich>
                  <a:bodyPr/>
                  <a:lstStyle/>
                  <a:p>
                    <a:r>
                      <a:rPr lang="en-US"/>
                      <a:t>88%</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D2C-435D-B637-821EACF6D3B2}"/>
                </c:ext>
                <c:ext xmlns:c15="http://schemas.microsoft.com/office/drawing/2012/chart" uri="{CE6537A1-D6FC-4f65-9D91-7224C49458BB}"/>
              </c:extLst>
            </c:dLbl>
            <c:dLbl>
              <c:idx val="1"/>
              <c:tx>
                <c:rich>
                  <a:bodyPr/>
                  <a:lstStyle/>
                  <a:p>
                    <a:r>
                      <a:rPr lang="en-US"/>
                      <a:t>76%</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472-499E-9235-BF0A79EF13E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Hoja3!$G$4:$G$5</c:f>
              <c:strCache>
                <c:ptCount val="2"/>
                <c:pt idx="0">
                  <c:v>Programado</c:v>
                </c:pt>
                <c:pt idx="1">
                  <c:v>Ejecutado</c:v>
                </c:pt>
              </c:strCache>
            </c:strRef>
          </c:cat>
          <c:val>
            <c:numRef>
              <c:f>Hoja3!$H$4:$H$5</c:f>
              <c:numCache>
                <c:formatCode>0.00%</c:formatCode>
                <c:ptCount val="2"/>
                <c:pt idx="0">
                  <c:v>0.88139999999999996</c:v>
                </c:pt>
                <c:pt idx="1">
                  <c:v>0.75</c:v>
                </c:pt>
              </c:numCache>
            </c:numRef>
          </c:val>
          <c:extLst xmlns:c16r2="http://schemas.microsoft.com/office/drawing/2015/06/chart">
            <c:ext xmlns:c16="http://schemas.microsoft.com/office/drawing/2014/chart" uri="{C3380CC4-5D6E-409C-BE32-E72D297353CC}">
              <c16:uniqueId val="{00000002-1472-499E-9235-BF0A79EF13E9}"/>
            </c:ext>
          </c:extLst>
        </c:ser>
        <c:dLbls>
          <c:dLblPos val="outEnd"/>
          <c:showLegendKey val="0"/>
          <c:showVal val="1"/>
          <c:showCatName val="0"/>
          <c:showSerName val="0"/>
          <c:showPercent val="0"/>
          <c:showBubbleSize val="0"/>
        </c:dLbls>
        <c:gapWidth val="100"/>
        <c:overlap val="-24"/>
        <c:axId val="79366784"/>
        <c:axId val="81401728"/>
      </c:barChart>
      <c:catAx>
        <c:axId val="7936678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81401728"/>
        <c:crosses val="autoZero"/>
        <c:auto val="1"/>
        <c:lblAlgn val="ctr"/>
        <c:lblOffset val="100"/>
        <c:noMultiLvlLbl val="0"/>
      </c:catAx>
      <c:valAx>
        <c:axId val="81401728"/>
        <c:scaling>
          <c:orientation val="minMax"/>
          <c:max val="1"/>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79366784"/>
        <c:crosses val="autoZero"/>
        <c:crossBetween val="between"/>
      </c:valAx>
      <c:spPr>
        <a:no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Evaluación</a:t>
            </a:r>
            <a:r>
              <a:rPr lang="es-DO" b="1" baseline="0">
                <a:solidFill>
                  <a:schemeClr val="accent1">
                    <a:lumMod val="75000"/>
                  </a:schemeClr>
                </a:solidFill>
                <a:latin typeface="Times New Roman" panose="02020603050405020304" pitchFamily="18" charset="0"/>
                <a:cs typeface="Times New Roman" panose="02020603050405020304" pitchFamily="18" charset="0"/>
              </a:rPr>
              <a:t> de desempeño por resultados y competencias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bar"/>
        <c:grouping val="clustered"/>
        <c:varyColors val="0"/>
        <c:ser>
          <c:idx val="4"/>
          <c:order val="0"/>
          <c:spPr>
            <a:solidFill>
              <a:schemeClr val="accent6">
                <a:lumMod val="50000"/>
              </a:schemeClr>
            </a:solidFill>
            <a:ln>
              <a:noFill/>
            </a:ln>
            <a:effectLst/>
            <a:scene3d>
              <a:camera prst="orthographicFront"/>
              <a:lightRig rig="threePt" dir="t"/>
            </a:scene3d>
            <a:sp3d>
              <a:bevelT/>
            </a:sp3d>
          </c:spPr>
          <c:invertIfNegative val="0"/>
          <c:dPt>
            <c:idx val="0"/>
            <c:invertIfNegative val="0"/>
            <c:bubble3D val="0"/>
            <c:spPr>
              <a:solidFill>
                <a:srgbClr val="92D050"/>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2-D978-4CE1-8229-D1FD9D6A8C01}"/>
              </c:ext>
            </c:extLst>
          </c:dPt>
          <c:dPt>
            <c:idx val="1"/>
            <c:invertIfNegative val="0"/>
            <c:bubble3D val="0"/>
            <c:extLst xmlns:c16r2="http://schemas.microsoft.com/office/drawing/2015/06/chart">
              <c:ext xmlns:c16="http://schemas.microsoft.com/office/drawing/2014/chart" uri="{C3380CC4-5D6E-409C-BE32-E72D297353CC}">
                <c16:uniqueId val="{00000001-82DF-4E3D-A4AF-BE4CB9A01B22}"/>
              </c:ext>
            </c:extLst>
          </c:dPt>
          <c:cat>
            <c:strRef>
              <c:f>RRHH!$C$18:$G$19</c:f>
              <c:strCache>
                <c:ptCount val="2"/>
                <c:pt idx="0">
                  <c:v>Porcentaje de cumplimientno con el plan de evaluacion del desempeño</c:v>
                </c:pt>
                <c:pt idx="1">
                  <c:v>Equivalente 1/100</c:v>
                </c:pt>
              </c:strCache>
            </c:strRef>
          </c:cat>
          <c:val>
            <c:numRef>
              <c:f>RRHH!$H$18:$H$19</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2-82DF-4E3D-A4AF-BE4CB9A01B22}"/>
            </c:ext>
          </c:extLst>
        </c:ser>
        <c:dLbls>
          <c:showLegendKey val="0"/>
          <c:showVal val="0"/>
          <c:showCatName val="0"/>
          <c:showSerName val="0"/>
          <c:showPercent val="0"/>
          <c:showBubbleSize val="0"/>
        </c:dLbls>
        <c:gapWidth val="182"/>
        <c:axId val="114911104"/>
        <c:axId val="114912640"/>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RRHH!$C$18:$G$19</c15:sqref>
                        </c15:formulaRef>
                      </c:ext>
                    </c:extLst>
                    <c:strCache>
                      <c:ptCount val="2"/>
                      <c:pt idx="0">
                        <c:v>Porcentaje de cumplimientno con el plan de evaluacion del desempeño</c:v>
                      </c:pt>
                      <c:pt idx="1">
                        <c:v>Equivalente 1/100</c:v>
                      </c:pt>
                    </c:strCache>
                  </c:strRef>
                </c:cat>
                <c:val>
                  <c:numRef>
                    <c:extLst xmlns:c16r2="http://schemas.microsoft.com/office/drawing/2015/06/chart">
                      <c:ext uri="{02D57815-91ED-43cb-92C2-25804820EDAC}">
                        <c15:formulaRef>
                          <c15:sqref>RRHH!$D$18</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3-82DF-4E3D-A4AF-BE4CB9A01B22}"/>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RRHH!$C$18:$G$19</c15:sqref>
                        </c15:formulaRef>
                      </c:ext>
                    </c:extLst>
                    <c:strCache>
                      <c:ptCount val="2"/>
                      <c:pt idx="0">
                        <c:v>Porcentaje de cumplimientno con el plan de evaluacion del desempeño</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RRHH!$E$18</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4-82DF-4E3D-A4AF-BE4CB9A01B22}"/>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RRHH!$C$18:$G$19</c15:sqref>
                        </c15:formulaRef>
                      </c:ext>
                    </c:extLst>
                    <c:strCache>
                      <c:ptCount val="2"/>
                      <c:pt idx="0">
                        <c:v>Porcentaje de cumplimientno con el plan de evaluacion del desempeño</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RRHH!$F$18</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5-82DF-4E3D-A4AF-BE4CB9A01B22}"/>
                  </c:ext>
                </c:extLst>
              </c15:ser>
            </c15:filteredBarSeries>
            <c15:filteredBarSeries>
              <c15:ser>
                <c:idx val="3"/>
                <c:order val="3"/>
                <c:spPr>
                  <a:solidFill>
                    <a:schemeClr val="accent4"/>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RRHH!$C$18:$G$19</c15:sqref>
                        </c15:formulaRef>
                      </c:ext>
                    </c:extLst>
                    <c:strCache>
                      <c:ptCount val="2"/>
                      <c:pt idx="0">
                        <c:v>Porcentaje de cumplimientno con el plan de evaluacion del desempeño</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RRHH!$G$18</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6-82DF-4E3D-A4AF-BE4CB9A01B22}"/>
                  </c:ext>
                </c:extLst>
              </c15:ser>
            </c15:filteredBarSeries>
          </c:ext>
        </c:extLst>
      </c:barChart>
      <c:catAx>
        <c:axId val="114911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4912640"/>
        <c:crosses val="autoZero"/>
        <c:auto val="1"/>
        <c:lblAlgn val="ctr"/>
        <c:lblOffset val="100"/>
        <c:noMultiLvlLbl val="0"/>
      </c:catAx>
      <c:valAx>
        <c:axId val="114912640"/>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4911104"/>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Capacitación del Personal</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bar"/>
        <c:grouping val="clustered"/>
        <c:varyColors val="0"/>
        <c:ser>
          <c:idx val="5"/>
          <c:order val="0"/>
          <c:spPr>
            <a:solidFill>
              <a:schemeClr val="accent6"/>
            </a:solidFill>
            <a:ln>
              <a:noFill/>
            </a:ln>
            <a:effectLst/>
            <a:scene3d>
              <a:camera prst="orthographicFront"/>
              <a:lightRig rig="threePt" dir="t"/>
            </a:scene3d>
            <a:sp3d>
              <a:bevelT/>
            </a:sp3d>
          </c:spPr>
          <c:invertIfNegative val="0"/>
          <c:dPt>
            <c:idx val="1"/>
            <c:invertIfNegative val="0"/>
            <c:bubble3D val="0"/>
            <c:spPr>
              <a:solidFill>
                <a:schemeClr val="accent6">
                  <a:lumMod val="50000"/>
                </a:schemeClr>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38F7-4621-AEA1-B3B33E8DABD7}"/>
              </c:ext>
            </c:extLst>
          </c:dPt>
          <c:cat>
            <c:strRef>
              <c:f>RRHH!$C$34:$H$35</c:f>
              <c:strCache>
                <c:ptCount val="2"/>
                <c:pt idx="0">
                  <c:v>Porcentaje de los colaboradores capacitado acorde a las necesidades identificadas.</c:v>
                </c:pt>
                <c:pt idx="1">
                  <c:v>Equivalente 1/100</c:v>
                </c:pt>
              </c:strCache>
            </c:strRef>
          </c:cat>
          <c:val>
            <c:numRef>
              <c:f>RRHH!$I$34:$I$35</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2-38F7-4621-AEA1-B3B33E8DABD7}"/>
            </c:ext>
          </c:extLst>
        </c:ser>
        <c:dLbls>
          <c:showLegendKey val="0"/>
          <c:showVal val="0"/>
          <c:showCatName val="0"/>
          <c:showSerName val="0"/>
          <c:showPercent val="0"/>
          <c:showBubbleSize val="0"/>
        </c:dLbls>
        <c:gapWidth val="182"/>
        <c:axId val="115591424"/>
        <c:axId val="115597312"/>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RRHH!$C$34:$H$35</c15:sqref>
                        </c15:formulaRef>
                      </c:ext>
                    </c:extLst>
                    <c:strCache>
                      <c:ptCount val="2"/>
                      <c:pt idx="0">
                        <c:v>Porcentaje de los colaboradores capacitado acorde a las necesidades identificadas.</c:v>
                      </c:pt>
                      <c:pt idx="1">
                        <c:v>Equivalente 1/100</c:v>
                      </c:pt>
                    </c:strCache>
                  </c:strRef>
                </c:cat>
                <c:val>
                  <c:numRef>
                    <c:extLst xmlns:c16r2="http://schemas.microsoft.com/office/drawing/2015/06/chart">
                      <c:ext uri="{02D57815-91ED-43cb-92C2-25804820EDAC}">
                        <c15:formulaRef>
                          <c15:sqref>RRHH!$D$34</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3-38F7-4621-AEA1-B3B33E8DABD7}"/>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RRHH!$C$34:$H$35</c15:sqref>
                        </c15:formulaRef>
                      </c:ext>
                    </c:extLst>
                    <c:strCache>
                      <c:ptCount val="2"/>
                      <c:pt idx="0">
                        <c:v>Porcentaje de los colaboradores capacitado acorde a las necesidades identificadas.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RRHH!$E$34</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4-38F7-4621-AEA1-B3B33E8DABD7}"/>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RRHH!$C$34:$H$35</c15:sqref>
                        </c15:formulaRef>
                      </c:ext>
                    </c:extLst>
                    <c:strCache>
                      <c:ptCount val="2"/>
                      <c:pt idx="0">
                        <c:v>Porcentaje de los colaboradores capacitado acorde a las necesidades identificadas.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RRHH!$F$34</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5-38F7-4621-AEA1-B3B33E8DABD7}"/>
                  </c:ext>
                </c:extLst>
              </c15:ser>
            </c15:filteredBarSeries>
            <c15:filteredBarSeries>
              <c15:ser>
                <c:idx val="3"/>
                <c:order val="3"/>
                <c:spPr>
                  <a:solidFill>
                    <a:schemeClr val="accent4"/>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RRHH!$C$34:$H$35</c15:sqref>
                        </c15:formulaRef>
                      </c:ext>
                    </c:extLst>
                    <c:strCache>
                      <c:ptCount val="2"/>
                      <c:pt idx="0">
                        <c:v>Porcentaje de los colaboradores capacitado acorde a las necesidades identificadas.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RRHH!$G$34</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6-38F7-4621-AEA1-B3B33E8DABD7}"/>
                  </c:ext>
                </c:extLst>
              </c15:ser>
            </c15:filteredBarSeries>
            <c15:filteredBarSeries>
              <c15:ser>
                <c:idx val="4"/>
                <c:order val="4"/>
                <c:spPr>
                  <a:solidFill>
                    <a:schemeClr val="accent5"/>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RRHH!$C$34:$H$35</c15:sqref>
                        </c15:formulaRef>
                      </c:ext>
                    </c:extLst>
                    <c:strCache>
                      <c:ptCount val="2"/>
                      <c:pt idx="0">
                        <c:v>Porcentaje de los colaboradores capacitado acorde a las necesidades identificadas.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RRHH!$H$34</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7-38F7-4621-AEA1-B3B33E8DABD7}"/>
                  </c:ext>
                </c:extLst>
              </c15:ser>
            </c15:filteredBarSeries>
          </c:ext>
        </c:extLst>
      </c:barChart>
      <c:catAx>
        <c:axId val="1155914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5597312"/>
        <c:crosses val="autoZero"/>
        <c:auto val="1"/>
        <c:lblAlgn val="ctr"/>
        <c:lblOffset val="100"/>
        <c:noMultiLvlLbl val="0"/>
      </c:catAx>
      <c:valAx>
        <c:axId val="115597312"/>
        <c:scaling>
          <c:orientation val="minMax"/>
          <c:max val="1"/>
          <c:min val="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5591424"/>
        <c:crosses val="autoZero"/>
        <c:crossBetween val="between"/>
        <c:minorUnit val="2.0000000000000004E-2"/>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Reclutamiento y Selección de Personal</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bar"/>
        <c:grouping val="clustered"/>
        <c:varyColors val="0"/>
        <c:ser>
          <c:idx val="2"/>
          <c:order val="0"/>
          <c:spPr>
            <a:solidFill>
              <a:schemeClr val="accent3"/>
            </a:solidFill>
            <a:ln>
              <a:noFill/>
            </a:ln>
            <a:effectLst/>
            <a:scene3d>
              <a:camera prst="orthographicFront"/>
              <a:lightRig rig="threePt" dir="t"/>
            </a:scene3d>
            <a:sp3d>
              <a:bevelT/>
            </a:sp3d>
          </c:spPr>
          <c:invertIfNegative val="0"/>
          <c:dPt>
            <c:idx val="0"/>
            <c:invertIfNegative val="0"/>
            <c:bubble3D val="0"/>
            <c:spPr>
              <a:solidFill>
                <a:srgbClr val="92D050"/>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2-38FC-4A3E-972E-F9DF4DECAD23}"/>
              </c:ext>
            </c:extLst>
          </c:dPt>
          <c:dPt>
            <c:idx val="1"/>
            <c:invertIfNegative val="0"/>
            <c:bubble3D val="0"/>
            <c:spPr>
              <a:solidFill>
                <a:schemeClr val="accent6">
                  <a:lumMod val="50000"/>
                </a:schemeClr>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3434-463F-9BF3-11377EBB45C6}"/>
              </c:ext>
            </c:extLst>
          </c:dPt>
          <c:cat>
            <c:strRef>
              <c:f>RRHH!$C$51:$E$52</c:f>
              <c:strCache>
                <c:ptCount val="2"/>
                <c:pt idx="0">
                  <c:v>Porcentaje del personal seleccinado que cumple con el perfil del puesto,</c:v>
                </c:pt>
                <c:pt idx="1">
                  <c:v>Equivalente 1/100</c:v>
                </c:pt>
              </c:strCache>
            </c:strRef>
          </c:cat>
          <c:val>
            <c:numRef>
              <c:f>RRHH!$F$51:$F$52</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2-3434-463F-9BF3-11377EBB45C6}"/>
            </c:ext>
          </c:extLst>
        </c:ser>
        <c:dLbls>
          <c:showLegendKey val="0"/>
          <c:showVal val="0"/>
          <c:showCatName val="0"/>
          <c:showSerName val="0"/>
          <c:showPercent val="0"/>
          <c:showBubbleSize val="0"/>
        </c:dLbls>
        <c:gapWidth val="182"/>
        <c:axId val="115510656"/>
        <c:axId val="115516544"/>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RRHH!$C$51:$E$52</c15:sqref>
                        </c15:formulaRef>
                      </c:ext>
                    </c:extLst>
                    <c:strCache>
                      <c:ptCount val="2"/>
                      <c:pt idx="0">
                        <c:v>Porcentaje del personal seleccinado que cumple con el perfil del puesto,</c:v>
                      </c:pt>
                      <c:pt idx="1">
                        <c:v>Equivalente 1/100</c:v>
                      </c:pt>
                    </c:strCache>
                  </c:strRef>
                </c:cat>
                <c:val>
                  <c:numRef>
                    <c:extLst xmlns:c16r2="http://schemas.microsoft.com/office/drawing/2015/06/chart">
                      <c:ext uri="{02D57815-91ED-43cb-92C2-25804820EDAC}">
                        <c15:formulaRef>
                          <c15:sqref>RRHH!$D$51</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3-3434-463F-9BF3-11377EBB45C6}"/>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RRHH!$C$51:$E$52</c15:sqref>
                        </c15:formulaRef>
                      </c:ext>
                    </c:extLst>
                    <c:strCache>
                      <c:ptCount val="2"/>
                      <c:pt idx="0">
                        <c:v>Porcentaje del personal seleccinado que cumple con el perfil del puesto,</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RRHH!$E$51</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4-3434-463F-9BF3-11377EBB45C6}"/>
                  </c:ext>
                </c:extLst>
              </c15:ser>
            </c15:filteredBarSeries>
          </c:ext>
        </c:extLst>
      </c:barChart>
      <c:catAx>
        <c:axId val="1155106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5516544"/>
        <c:crosses val="autoZero"/>
        <c:auto val="1"/>
        <c:lblAlgn val="ctr"/>
        <c:lblOffset val="100"/>
        <c:noMultiLvlLbl val="0"/>
      </c:catAx>
      <c:valAx>
        <c:axId val="115516544"/>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5510656"/>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Servicio de mantenimiento de la planta fisica Sede y OPP de la DGP.</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bar"/>
        <c:grouping val="clustered"/>
        <c:varyColors val="0"/>
        <c:ser>
          <c:idx val="5"/>
          <c:order val="0"/>
          <c:spPr>
            <a:solidFill>
              <a:schemeClr val="accent6"/>
            </a:solidFill>
            <a:ln>
              <a:noFill/>
            </a:ln>
            <a:effectLst/>
            <a:scene3d>
              <a:camera prst="orthographicFront"/>
              <a:lightRig rig="threePt" dir="t"/>
            </a:scene3d>
            <a:sp3d>
              <a:bevelT/>
            </a:sp3d>
          </c:spPr>
          <c:invertIfNegative val="0"/>
          <c:dPt>
            <c:idx val="1"/>
            <c:invertIfNegative val="0"/>
            <c:bubble3D val="0"/>
            <c:spPr>
              <a:solidFill>
                <a:schemeClr val="accent6">
                  <a:lumMod val="50000"/>
                </a:schemeClr>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8638-4773-AD25-79A448249F1E}"/>
              </c:ext>
            </c:extLst>
          </c:dPt>
          <c:cat>
            <c:strRef>
              <c:f>Administrativo!$C$35:$H$36</c:f>
              <c:strCache>
                <c:ptCount val="2"/>
                <c:pt idx="0">
                  <c:v>Porcentaje de cumplimiento del plan de mantenimiento.</c:v>
                </c:pt>
                <c:pt idx="1">
                  <c:v>Equivalente 1/100</c:v>
                </c:pt>
              </c:strCache>
            </c:strRef>
          </c:cat>
          <c:val>
            <c:numRef>
              <c:f>Administrativo!$I$35:$I$36</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2-8638-4773-AD25-79A448249F1E}"/>
            </c:ext>
          </c:extLst>
        </c:ser>
        <c:dLbls>
          <c:showLegendKey val="0"/>
          <c:showVal val="0"/>
          <c:showCatName val="0"/>
          <c:showSerName val="0"/>
          <c:showPercent val="0"/>
          <c:showBubbleSize val="0"/>
        </c:dLbls>
        <c:gapWidth val="182"/>
        <c:axId val="116465664"/>
        <c:axId val="116467200"/>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Administrativo!$C$35:$H$36</c15:sqref>
                        </c15:formulaRef>
                      </c:ext>
                    </c:extLst>
                    <c:strCache>
                      <c:ptCount val="2"/>
                      <c:pt idx="0">
                        <c:v>Porcentaje de cumplimiento del plan de mantenimiento.</c:v>
                      </c:pt>
                      <c:pt idx="1">
                        <c:v>Equivalente 1/100</c:v>
                      </c:pt>
                    </c:strCache>
                  </c:strRef>
                </c:cat>
                <c:val>
                  <c:numRef>
                    <c:extLst xmlns:c16r2="http://schemas.microsoft.com/office/drawing/2015/06/chart">
                      <c:ext uri="{02D57815-91ED-43cb-92C2-25804820EDAC}">
                        <c15:formulaRef>
                          <c15:sqref>Administrativo!$D$35</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3-8638-4773-AD25-79A448249F1E}"/>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Administrativo!$C$35:$H$36</c15:sqref>
                        </c15:formulaRef>
                      </c:ext>
                    </c:extLst>
                    <c:strCache>
                      <c:ptCount val="2"/>
                      <c:pt idx="0">
                        <c:v>Porcentaje de cumplimiento del plan de mantenimiento.</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Administrativo!$E$35</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4-8638-4773-AD25-79A448249F1E}"/>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Administrativo!$C$35:$H$36</c15:sqref>
                        </c15:formulaRef>
                      </c:ext>
                    </c:extLst>
                    <c:strCache>
                      <c:ptCount val="2"/>
                      <c:pt idx="0">
                        <c:v>Porcentaje de cumplimiento del plan de mantenimiento.</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Administrativo!$F$35</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5-8638-4773-AD25-79A448249F1E}"/>
                  </c:ext>
                </c:extLst>
              </c15:ser>
            </c15:filteredBarSeries>
            <c15:filteredBarSeries>
              <c15:ser>
                <c:idx val="3"/>
                <c:order val="3"/>
                <c:spPr>
                  <a:solidFill>
                    <a:schemeClr val="accent4"/>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Administrativo!$C$35:$H$36</c15:sqref>
                        </c15:formulaRef>
                      </c:ext>
                    </c:extLst>
                    <c:strCache>
                      <c:ptCount val="2"/>
                      <c:pt idx="0">
                        <c:v>Porcentaje de cumplimiento del plan de mantenimiento.</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Administrativo!$G$35</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6-8638-4773-AD25-79A448249F1E}"/>
                  </c:ext>
                </c:extLst>
              </c15:ser>
            </c15:filteredBarSeries>
            <c15:filteredBarSeries>
              <c15:ser>
                <c:idx val="4"/>
                <c:order val="4"/>
                <c:spPr>
                  <a:solidFill>
                    <a:schemeClr val="accent5"/>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Administrativo!$C$35:$H$36</c15:sqref>
                        </c15:formulaRef>
                      </c:ext>
                    </c:extLst>
                    <c:strCache>
                      <c:ptCount val="2"/>
                      <c:pt idx="0">
                        <c:v>Porcentaje de cumplimiento del plan de mantenimiento.</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Administrativo!$H$35</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7-8638-4773-AD25-79A448249F1E}"/>
                  </c:ext>
                </c:extLst>
              </c15:ser>
            </c15:filteredBarSeries>
          </c:ext>
        </c:extLst>
      </c:barChart>
      <c:catAx>
        <c:axId val="1164656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6467200"/>
        <c:crosses val="autoZero"/>
        <c:auto val="1"/>
        <c:lblAlgn val="ctr"/>
        <c:lblOffset val="100"/>
        <c:noMultiLvlLbl val="0"/>
      </c:catAx>
      <c:valAx>
        <c:axId val="116467200"/>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6465664"/>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 Mantenimiento</a:t>
            </a:r>
            <a:r>
              <a:rPr lang="es-DO" b="1" baseline="0">
                <a:solidFill>
                  <a:schemeClr val="accent1">
                    <a:lumMod val="75000"/>
                  </a:schemeClr>
                </a:solidFill>
                <a:latin typeface="Times New Roman" panose="02020603050405020304" pitchFamily="18" charset="0"/>
                <a:cs typeface="Times New Roman" panose="02020603050405020304" pitchFamily="18" charset="0"/>
              </a:rPr>
              <a:t> de Aires Acondicionado</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bar"/>
        <c:grouping val="clustered"/>
        <c:varyColors val="0"/>
        <c:ser>
          <c:idx val="4"/>
          <c:order val="0"/>
          <c:spPr>
            <a:solidFill>
              <a:schemeClr val="accent5"/>
            </a:solidFill>
            <a:ln>
              <a:noFill/>
            </a:ln>
            <a:effectLst/>
            <a:scene3d>
              <a:camera prst="orthographicFront"/>
              <a:lightRig rig="threePt" dir="t"/>
            </a:scene3d>
            <a:sp3d>
              <a:bevelT/>
            </a:sp3d>
          </c:spPr>
          <c:invertIfNegative val="0"/>
          <c:dPt>
            <c:idx val="0"/>
            <c:invertIfNegative val="0"/>
            <c:bubble3D val="0"/>
            <c:spPr>
              <a:solidFill>
                <a:srgbClr val="92D050"/>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82B9-40A8-8FDF-329A4A4EAA30}"/>
              </c:ext>
            </c:extLst>
          </c:dPt>
          <c:dPt>
            <c:idx val="1"/>
            <c:invertIfNegative val="0"/>
            <c:bubble3D val="0"/>
            <c:spPr>
              <a:solidFill>
                <a:schemeClr val="accent6">
                  <a:lumMod val="50000"/>
                </a:schemeClr>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3-82B9-40A8-8FDF-329A4A4EAA30}"/>
              </c:ext>
            </c:extLst>
          </c:dPt>
          <c:cat>
            <c:strRef>
              <c:f>Administrativo!$C$19:$G$20</c:f>
              <c:strCache>
                <c:ptCount val="2"/>
                <c:pt idx="0">
                  <c:v>Cantidad de Aires</c:v>
                </c:pt>
                <c:pt idx="1">
                  <c:v>Equivalente 1/100</c:v>
                </c:pt>
              </c:strCache>
            </c:strRef>
          </c:cat>
          <c:val>
            <c:numRef>
              <c:f>Administrativo!$H$19:$H$20</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4-82B9-40A8-8FDF-329A4A4EAA30}"/>
            </c:ext>
          </c:extLst>
        </c:ser>
        <c:dLbls>
          <c:showLegendKey val="0"/>
          <c:showVal val="0"/>
          <c:showCatName val="0"/>
          <c:showSerName val="0"/>
          <c:showPercent val="0"/>
          <c:showBubbleSize val="0"/>
        </c:dLbls>
        <c:gapWidth val="182"/>
        <c:axId val="116983296"/>
        <c:axId val="116984832"/>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Administrativo!$C$19:$G$20</c15:sqref>
                        </c15:formulaRef>
                      </c:ext>
                    </c:extLst>
                    <c:strCache>
                      <c:ptCount val="2"/>
                      <c:pt idx="0">
                        <c:v>Cantidad de Aires</c:v>
                      </c:pt>
                      <c:pt idx="1">
                        <c:v>Equivalente 1/100</c:v>
                      </c:pt>
                    </c:strCache>
                  </c:strRef>
                </c:cat>
                <c:val>
                  <c:numRef>
                    <c:extLst xmlns:c16r2="http://schemas.microsoft.com/office/drawing/2015/06/chart">
                      <c:ext uri="{02D57815-91ED-43cb-92C2-25804820EDAC}">
                        <c15:formulaRef>
                          <c15:sqref>Administrativo!$D$19</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5-82B9-40A8-8FDF-329A4A4EAA30}"/>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Administrativo!$C$19:$G$20</c15:sqref>
                        </c15:formulaRef>
                      </c:ext>
                    </c:extLst>
                    <c:strCache>
                      <c:ptCount val="2"/>
                      <c:pt idx="0">
                        <c:v>Cantidad de Aires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Administrativo!$E$19</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6-82B9-40A8-8FDF-329A4A4EAA30}"/>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Administrativo!$C$19:$G$20</c15:sqref>
                        </c15:formulaRef>
                      </c:ext>
                    </c:extLst>
                    <c:strCache>
                      <c:ptCount val="2"/>
                      <c:pt idx="0">
                        <c:v>Cantidad de Aires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Administrativo!$F$19</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7-82B9-40A8-8FDF-329A4A4EAA30}"/>
                  </c:ext>
                </c:extLst>
              </c15:ser>
            </c15:filteredBarSeries>
            <c15:filteredBarSeries>
              <c15:ser>
                <c:idx val="3"/>
                <c:order val="3"/>
                <c:spPr>
                  <a:solidFill>
                    <a:schemeClr val="accent4"/>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Administrativo!$C$19:$G$20</c15:sqref>
                        </c15:formulaRef>
                      </c:ext>
                    </c:extLst>
                    <c:strCache>
                      <c:ptCount val="2"/>
                      <c:pt idx="0">
                        <c:v>Cantidad de Aires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Administrativo!$G$19</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8-82B9-40A8-8FDF-329A4A4EAA30}"/>
                  </c:ext>
                </c:extLst>
              </c15:ser>
            </c15:filteredBarSeries>
          </c:ext>
        </c:extLst>
      </c:barChart>
      <c:catAx>
        <c:axId val="1169832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6984832"/>
        <c:crosses val="autoZero"/>
        <c:auto val="1"/>
        <c:lblAlgn val="ctr"/>
        <c:lblOffset val="100"/>
        <c:noMultiLvlLbl val="0"/>
      </c:catAx>
      <c:valAx>
        <c:axId val="116984832"/>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6983296"/>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080" b="0" i="0" u="none" strike="noStrike" kern="1200" spc="0" baseline="0">
                <a:solidFill>
                  <a:schemeClr val="tx1">
                    <a:lumMod val="65000"/>
                    <a:lumOff val="35000"/>
                  </a:schemeClr>
                </a:solidFill>
                <a:latin typeface="+mn-lt"/>
                <a:ea typeface="+mn-ea"/>
                <a:cs typeface="+mn-cs"/>
              </a:defRPr>
            </a:pPr>
            <a:r>
              <a:rPr lang="es-ES" sz="1400" b="1">
                <a:solidFill>
                  <a:schemeClr val="accent1">
                    <a:lumMod val="75000"/>
                  </a:schemeClr>
                </a:solidFill>
                <a:latin typeface="Times New Roman" panose="02020603050405020304" pitchFamily="18" charset="0"/>
                <a:cs typeface="Times New Roman" panose="02020603050405020304" pitchFamily="18" charset="0"/>
              </a:rPr>
              <a:t>Adquisición de Vehiculos</a:t>
            </a:r>
          </a:p>
        </c:rich>
      </c:tx>
      <c:overlay val="0"/>
      <c:spPr>
        <a:noFill/>
        <a:ln>
          <a:noFill/>
        </a:ln>
        <a:effectLst/>
      </c:spPr>
    </c:title>
    <c:autoTitleDeleted val="0"/>
    <c:plotArea>
      <c:layout/>
      <c:barChart>
        <c:barDir val="bar"/>
        <c:grouping val="clustered"/>
        <c:varyColors val="0"/>
        <c:ser>
          <c:idx val="1"/>
          <c:order val="0"/>
          <c:spPr>
            <a:solidFill>
              <a:schemeClr val="accent2"/>
            </a:solidFill>
            <a:ln>
              <a:noFill/>
            </a:ln>
            <a:effectLst/>
            <a:scene3d>
              <a:camera prst="orthographicFront"/>
              <a:lightRig rig="threePt" dir="t"/>
            </a:scene3d>
            <a:sp3d>
              <a:bevelT/>
              <a:bevelB/>
            </a:sp3d>
          </c:spPr>
          <c:invertIfNegative val="0"/>
          <c:dPt>
            <c:idx val="0"/>
            <c:invertIfNegative val="0"/>
            <c:bubble3D val="0"/>
            <c:spPr>
              <a:solidFill>
                <a:srgbClr val="92D050"/>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2-6477-4978-AF02-CA1AE7D89D2A}"/>
              </c:ext>
            </c:extLst>
          </c:dPt>
          <c:dPt>
            <c:idx val="1"/>
            <c:invertIfNegative val="0"/>
            <c:bubble3D val="0"/>
            <c:spPr>
              <a:solidFill>
                <a:schemeClr val="accent6">
                  <a:lumMod val="50000"/>
                </a:schemeClr>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1-06F1-409A-B177-EC1DD9B6A83C}"/>
              </c:ext>
            </c:extLst>
          </c:dPt>
          <c:cat>
            <c:strRef>
              <c:f>Administrativo!$C$53:$C$54</c:f>
              <c:strCache>
                <c:ptCount val="2"/>
                <c:pt idx="0">
                  <c:v>Cantidad de Vehiculos</c:v>
                </c:pt>
                <c:pt idx="1">
                  <c:v>Equivalente 1/100</c:v>
                </c:pt>
              </c:strCache>
            </c:strRef>
          </c:cat>
          <c:val>
            <c:numRef>
              <c:f>Administrativo!$E$53:$E$54</c:f>
              <c:numCache>
                <c:formatCode>General</c:formatCode>
                <c:ptCount val="2"/>
                <c:pt idx="0" formatCode="0%">
                  <c:v>1</c:v>
                </c:pt>
                <c:pt idx="1">
                  <c:v>100</c:v>
                </c:pt>
              </c:numCache>
            </c:numRef>
          </c:val>
          <c:extLst xmlns:c16r2="http://schemas.microsoft.com/office/drawing/2015/06/chart">
            <c:ext xmlns:c16="http://schemas.microsoft.com/office/drawing/2014/chart" uri="{C3380CC4-5D6E-409C-BE32-E72D297353CC}">
              <c16:uniqueId val="{00000002-06F1-409A-B177-EC1DD9B6A83C}"/>
            </c:ext>
          </c:extLst>
        </c:ser>
        <c:dLbls>
          <c:showLegendKey val="0"/>
          <c:showVal val="0"/>
          <c:showCatName val="0"/>
          <c:showSerName val="0"/>
          <c:showPercent val="0"/>
          <c:showBubbleSize val="0"/>
        </c:dLbls>
        <c:gapWidth val="182"/>
        <c:axId val="117672576"/>
        <c:axId val="117105024"/>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Administrativo!$C$53:$C$54</c15:sqref>
                        </c15:formulaRef>
                      </c:ext>
                    </c:extLst>
                    <c:strCache>
                      <c:ptCount val="2"/>
                      <c:pt idx="0">
                        <c:v>Cantidad de Vehiculos</c:v>
                      </c:pt>
                      <c:pt idx="1">
                        <c:v>Equivalente 1/100</c:v>
                      </c:pt>
                    </c:strCache>
                  </c:strRef>
                </c:cat>
                <c:val>
                  <c:numRef>
                    <c:extLst xmlns:c16r2="http://schemas.microsoft.com/office/drawing/2015/06/chart">
                      <c:ext uri="{02D57815-91ED-43cb-92C2-25804820EDAC}">
                        <c15:formulaRef>
                          <c15:sqref>Administrativo!$D$53:$D$54</c15:sqref>
                        </c15:formulaRef>
                      </c:ext>
                    </c:extLst>
                    <c:numCache>
                      <c:formatCode>General</c:formatCode>
                      <c:ptCount val="2"/>
                    </c:numCache>
                  </c:numRef>
                </c:val>
                <c:extLst xmlns:c16r2="http://schemas.microsoft.com/office/drawing/2015/06/chart">
                  <c:ext xmlns:c16="http://schemas.microsoft.com/office/drawing/2014/chart" uri="{C3380CC4-5D6E-409C-BE32-E72D297353CC}">
                    <c16:uniqueId val="{00000003-06F1-409A-B177-EC1DD9B6A83C}"/>
                  </c:ext>
                </c:extLst>
              </c15:ser>
            </c15:filteredBarSeries>
          </c:ext>
        </c:extLst>
      </c:barChart>
      <c:catAx>
        <c:axId val="1176725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en-US" sz="900" b="0" i="0" u="none" strike="noStrike" kern="1200" spc="0" baseline="0">
                <a:solidFill>
                  <a:schemeClr val="tx1">
                    <a:lumMod val="65000"/>
                    <a:lumOff val="35000"/>
                  </a:schemeClr>
                </a:solidFill>
                <a:latin typeface="+mn-lt"/>
                <a:ea typeface="+mn-ea"/>
                <a:cs typeface="+mn-cs"/>
              </a:defRPr>
            </a:pPr>
            <a:endParaRPr lang="es-ES"/>
          </a:p>
        </c:txPr>
        <c:crossAx val="117105024"/>
        <c:crosses val="autoZero"/>
        <c:auto val="1"/>
        <c:lblAlgn val="ctr"/>
        <c:lblOffset val="100"/>
        <c:noMultiLvlLbl val="0"/>
      </c:catAx>
      <c:valAx>
        <c:axId val="117105024"/>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spc="0" baseline="0">
                <a:solidFill>
                  <a:schemeClr val="tx1">
                    <a:lumMod val="65000"/>
                    <a:lumOff val="35000"/>
                  </a:schemeClr>
                </a:solidFill>
                <a:latin typeface="+mn-lt"/>
                <a:ea typeface="+mn-ea"/>
                <a:cs typeface="+mn-cs"/>
              </a:defRPr>
            </a:pPr>
            <a:endParaRPr lang="es-ES"/>
          </a:p>
        </c:txPr>
        <c:crossAx val="11767257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lang="en-US" sz="900" b="0" i="0" u="none" strike="noStrike" kern="1200" spc="0" baseline="0">
                <a:solidFill>
                  <a:schemeClr val="tx1">
                    <a:lumMod val="65000"/>
                    <a:lumOff val="35000"/>
                  </a:schemeClr>
                </a:solidFill>
                <a:latin typeface="+mn-lt"/>
                <a:ea typeface="+mn-ea"/>
                <a:cs typeface="+mn-cs"/>
              </a:defRPr>
            </a:pPr>
            <a:endParaRPr lang="es-ES"/>
          </a:p>
        </c:txPr>
      </c:dTable>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path path="circle">
            <a:fillToRect l="100000" t="100000"/>
          </a:path>
        </a:gradFill>
        <a:ln>
          <a:noFill/>
        </a:ln>
        <a:effectLst/>
      </c:spPr>
    </c:plotArea>
    <c:plotVisOnly val="1"/>
    <c:dispBlanksAs val="gap"/>
    <c:showDLblsOverMax val="0"/>
  </c:chart>
  <c:spPr>
    <a:gradFill flip="none" rotWithShape="1">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tileRect/>
    </a:gradFill>
    <a:ln w="9525" cap="flat" cmpd="sng" algn="ctr">
      <a:solidFill>
        <a:schemeClr val="tx1">
          <a:lumMod val="15000"/>
          <a:lumOff val="85000"/>
        </a:schemeClr>
      </a:solidFill>
      <a:round/>
    </a:ln>
    <a:effectLst/>
  </c:spPr>
  <c:txPr>
    <a:bodyPr/>
    <a:lstStyle/>
    <a:p>
      <a:pPr algn="ctr" rtl="0">
        <a:defRPr lang="en-US" sz="900" b="0" i="0" u="none" strike="noStrike" kern="1200" spc="0" baseline="0">
          <a:solidFill>
            <a:schemeClr val="tx1">
              <a:lumMod val="65000"/>
              <a:lumOff val="35000"/>
            </a:schemeClr>
          </a:solidFill>
          <a:latin typeface="+mn-lt"/>
          <a:ea typeface="+mn-ea"/>
          <a:cs typeface="+mn-cs"/>
        </a:defRPr>
      </a:pPr>
      <a:endParaRPr lang="es-E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Productos: Servicio</a:t>
            </a:r>
            <a:r>
              <a:rPr lang="es-DO" b="1" baseline="0">
                <a:solidFill>
                  <a:schemeClr val="accent1">
                    <a:lumMod val="75000"/>
                  </a:schemeClr>
                </a:solidFill>
                <a:latin typeface="Times New Roman" panose="02020603050405020304" pitchFamily="18" charset="0"/>
                <a:cs typeface="Times New Roman" panose="02020603050405020304" pitchFamily="18" charset="0"/>
              </a:rPr>
              <a:t> de Mantenimiento para la flotilla de vehiculos de la DGP</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itle>
    <c:autoTitleDeleted val="0"/>
    <c:plotArea>
      <c:layout/>
      <c:barChart>
        <c:barDir val="bar"/>
        <c:grouping val="clustered"/>
        <c:varyColors val="0"/>
        <c:ser>
          <c:idx val="3"/>
          <c:order val="0"/>
          <c:spPr>
            <a:solidFill>
              <a:schemeClr val="accent4"/>
            </a:solidFill>
            <a:ln>
              <a:noFill/>
            </a:ln>
            <a:effectLst/>
            <a:scene3d>
              <a:camera prst="orthographicFront"/>
              <a:lightRig rig="threePt" dir="t"/>
            </a:scene3d>
            <a:sp3d>
              <a:bevelT/>
              <a:bevelB/>
            </a:sp3d>
          </c:spPr>
          <c:invertIfNegative val="0"/>
          <c:dPt>
            <c:idx val="0"/>
            <c:invertIfNegative val="0"/>
            <c:bubble3D val="0"/>
            <c:spPr>
              <a:solidFill>
                <a:srgbClr val="92D050"/>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1-6EAA-45E4-B9A1-58ADFCF869C5}"/>
              </c:ext>
            </c:extLst>
          </c:dPt>
          <c:dPt>
            <c:idx val="1"/>
            <c:invertIfNegative val="0"/>
            <c:bubble3D val="0"/>
            <c:spPr>
              <a:solidFill>
                <a:schemeClr val="accent6">
                  <a:lumMod val="50000"/>
                </a:schemeClr>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3-6EAA-45E4-B9A1-58ADFCF869C5}"/>
              </c:ext>
            </c:extLst>
          </c:dPt>
          <c:cat>
            <c:strRef>
              <c:f>Administrativo!$C$2:$C$3</c:f>
              <c:strCache>
                <c:ptCount val="2"/>
                <c:pt idx="0">
                  <c:v>Cantidad de cumplimiento con el plan de mantenimiento preventivo.</c:v>
                </c:pt>
                <c:pt idx="1">
                  <c:v>Equivalente 1/100</c:v>
                </c:pt>
              </c:strCache>
            </c:strRef>
          </c:cat>
          <c:val>
            <c:numRef>
              <c:f>Administrativo!$G$2:$G$3</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4-6EAA-45E4-B9A1-58ADFCF869C5}"/>
            </c:ext>
          </c:extLst>
        </c:ser>
        <c:dLbls>
          <c:showLegendKey val="0"/>
          <c:showVal val="0"/>
          <c:showCatName val="0"/>
          <c:showSerName val="0"/>
          <c:showPercent val="0"/>
          <c:showBubbleSize val="0"/>
        </c:dLbls>
        <c:gapWidth val="182"/>
        <c:axId val="118124544"/>
        <c:axId val="118126080"/>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Administrativo!$C$2:$C$3</c15:sqref>
                        </c15:formulaRef>
                      </c:ext>
                    </c:extLst>
                    <c:strCache>
                      <c:ptCount val="2"/>
                      <c:pt idx="0">
                        <c:v>Cantidad de cumplimiento con el plan de mantenimiento preventivo.</c:v>
                      </c:pt>
                      <c:pt idx="1">
                        <c:v>Equivalente 1/100</c:v>
                      </c:pt>
                    </c:strCache>
                  </c:strRef>
                </c:cat>
                <c:val>
                  <c:numRef>
                    <c:extLst xmlns:c16r2="http://schemas.microsoft.com/office/drawing/2015/06/chart">
                      <c:ext uri="{02D57815-91ED-43cb-92C2-25804820EDAC}">
                        <c15:formulaRef>
                          <c15:sqref>Administrativo!$D$2:$D$3</c15:sqref>
                        </c15:formulaRef>
                      </c:ext>
                    </c:extLst>
                    <c:numCache>
                      <c:formatCode>General</c:formatCode>
                      <c:ptCount val="2"/>
                    </c:numCache>
                  </c:numRef>
                </c:val>
                <c:extLst xmlns:c16r2="http://schemas.microsoft.com/office/drawing/2015/06/chart">
                  <c:ext xmlns:c16="http://schemas.microsoft.com/office/drawing/2014/chart" uri="{C3380CC4-5D6E-409C-BE32-E72D297353CC}">
                    <c16:uniqueId val="{00000005-6EAA-45E4-B9A1-58ADFCF869C5}"/>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Administrativo!$C$2:$C$3</c15:sqref>
                        </c15:formulaRef>
                      </c:ext>
                    </c:extLst>
                    <c:strCache>
                      <c:ptCount val="2"/>
                      <c:pt idx="0">
                        <c:v>Cantidad de cumplimiento con el plan de mantenimiento preventivo.</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Administrativo!$E$2:$E$3</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6-6EAA-45E4-B9A1-58ADFCF869C5}"/>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Administrativo!$C$2:$C$3</c15:sqref>
                        </c15:formulaRef>
                      </c:ext>
                    </c:extLst>
                    <c:strCache>
                      <c:ptCount val="2"/>
                      <c:pt idx="0">
                        <c:v>Cantidad de cumplimiento con el plan de mantenimiento preventivo.</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Administrativo!$F$2:$F$3</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7-6EAA-45E4-B9A1-58ADFCF869C5}"/>
                  </c:ext>
                </c:extLst>
              </c15:ser>
            </c15:filteredBarSeries>
          </c:ext>
        </c:extLst>
      </c:barChart>
      <c:catAx>
        <c:axId val="1181245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8126080"/>
        <c:crosses val="autoZero"/>
        <c:auto val="1"/>
        <c:lblAlgn val="ctr"/>
        <c:lblOffset val="100"/>
        <c:noMultiLvlLbl val="0"/>
      </c:catAx>
      <c:valAx>
        <c:axId val="118126080"/>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8124544"/>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flip="none" rotWithShape="1">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tileRect/>
        </a:gradFill>
        <a:ln>
          <a:noFill/>
        </a:ln>
        <a:effectLst/>
      </c:spPr>
    </c:plotArea>
    <c:plotVisOnly val="1"/>
    <c:dispBlanksAs val="gap"/>
    <c:showDLblsOverMax val="0"/>
  </c:chart>
  <c:spPr>
    <a:gradFill flip="none" rotWithShape="1">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tileRect/>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Adquisición Mobiliarios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bar"/>
        <c:grouping val="clustered"/>
        <c:varyColors val="0"/>
        <c:ser>
          <c:idx val="5"/>
          <c:order val="0"/>
          <c:spPr>
            <a:solidFill>
              <a:schemeClr val="accent6">
                <a:lumMod val="50000"/>
              </a:schemeClr>
            </a:solidFill>
            <a:ln>
              <a:noFill/>
            </a:ln>
            <a:effectLst/>
            <a:scene3d>
              <a:camera prst="orthographicFront"/>
              <a:lightRig rig="threePt" dir="t"/>
            </a:scene3d>
            <a:sp3d>
              <a:bevelT/>
            </a:sp3d>
          </c:spPr>
          <c:invertIfNegative val="0"/>
          <c:dPt>
            <c:idx val="0"/>
            <c:invertIfNegative val="0"/>
            <c:bubble3D val="0"/>
            <c:spPr>
              <a:solidFill>
                <a:srgbClr val="92D050"/>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2-9E9E-42F8-B1E5-F08227A816B1}"/>
              </c:ext>
            </c:extLst>
          </c:dPt>
          <c:dPt>
            <c:idx val="1"/>
            <c:invertIfNegative val="0"/>
            <c:bubble3D val="0"/>
            <c:extLst xmlns:c16r2="http://schemas.microsoft.com/office/drawing/2015/06/chart">
              <c:ext xmlns:c16="http://schemas.microsoft.com/office/drawing/2014/chart" uri="{C3380CC4-5D6E-409C-BE32-E72D297353CC}">
                <c16:uniqueId val="{00000001-11C2-4BF8-AC16-C16C8BC028DC}"/>
              </c:ext>
            </c:extLst>
          </c:dPt>
          <c:cat>
            <c:strRef>
              <c:f>Administrativo!$C$68:$H$69</c:f>
              <c:strCache>
                <c:ptCount val="2"/>
                <c:pt idx="0">
                  <c:v>Porcentaje Mobiliarios adquiridos</c:v>
                </c:pt>
                <c:pt idx="1">
                  <c:v>Equivalente 1/100</c:v>
                </c:pt>
              </c:strCache>
            </c:strRef>
          </c:cat>
          <c:val>
            <c:numRef>
              <c:f>Administrativo!$I$68:$I$69</c:f>
              <c:numCache>
                <c:formatCode>0%</c:formatCode>
                <c:ptCount val="2"/>
                <c:pt idx="0">
                  <c:v>0.8</c:v>
                </c:pt>
                <c:pt idx="1">
                  <c:v>1</c:v>
                </c:pt>
              </c:numCache>
            </c:numRef>
          </c:val>
          <c:extLst xmlns:c16r2="http://schemas.microsoft.com/office/drawing/2015/06/chart">
            <c:ext xmlns:c16="http://schemas.microsoft.com/office/drawing/2014/chart" uri="{C3380CC4-5D6E-409C-BE32-E72D297353CC}">
              <c16:uniqueId val="{00000002-11C2-4BF8-AC16-C16C8BC028DC}"/>
            </c:ext>
          </c:extLst>
        </c:ser>
        <c:dLbls>
          <c:showLegendKey val="0"/>
          <c:showVal val="0"/>
          <c:showCatName val="0"/>
          <c:showSerName val="0"/>
          <c:showPercent val="0"/>
          <c:showBubbleSize val="0"/>
        </c:dLbls>
        <c:gapWidth val="219"/>
        <c:axId val="118224768"/>
        <c:axId val="118226304"/>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Administrativo!$C$68:$H$69</c15:sqref>
                        </c15:formulaRef>
                      </c:ext>
                    </c:extLst>
                    <c:strCache>
                      <c:ptCount val="2"/>
                      <c:pt idx="0">
                        <c:v>Porcentaje Mobiliarios adquiridos</c:v>
                      </c:pt>
                      <c:pt idx="1">
                        <c:v>Equivalente 1/100</c:v>
                      </c:pt>
                    </c:strCache>
                  </c:strRef>
                </c:cat>
                <c:val>
                  <c:numRef>
                    <c:extLst xmlns:c16r2="http://schemas.microsoft.com/office/drawing/2015/06/chart">
                      <c:ext uri="{02D57815-91ED-43cb-92C2-25804820EDAC}">
                        <c15:formulaRef>
                          <c15:sqref>Administrativo!$D$68</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3-11C2-4BF8-AC16-C16C8BC028DC}"/>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Administrativo!$C$68:$H$69</c15:sqref>
                        </c15:formulaRef>
                      </c:ext>
                    </c:extLst>
                    <c:strCache>
                      <c:ptCount val="2"/>
                      <c:pt idx="0">
                        <c:v>Porcentaje Mobiliarios adquiridos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Administrativo!$E$68</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4-11C2-4BF8-AC16-C16C8BC028DC}"/>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Administrativo!$C$68:$H$69</c15:sqref>
                        </c15:formulaRef>
                      </c:ext>
                    </c:extLst>
                    <c:strCache>
                      <c:ptCount val="2"/>
                      <c:pt idx="0">
                        <c:v>Porcentaje Mobiliarios adquiridos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Administrativo!$F$68</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5-11C2-4BF8-AC16-C16C8BC028DC}"/>
                  </c:ext>
                </c:extLst>
              </c15:ser>
            </c15:filteredBarSeries>
            <c15:filteredBarSeries>
              <c15:ser>
                <c:idx val="3"/>
                <c:order val="3"/>
                <c:spPr>
                  <a:solidFill>
                    <a:schemeClr val="accent4"/>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Administrativo!$C$68:$H$69</c15:sqref>
                        </c15:formulaRef>
                      </c:ext>
                    </c:extLst>
                    <c:strCache>
                      <c:ptCount val="2"/>
                      <c:pt idx="0">
                        <c:v>Porcentaje Mobiliarios adquiridos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Administrativo!$G$68</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6-11C2-4BF8-AC16-C16C8BC028DC}"/>
                  </c:ext>
                </c:extLst>
              </c15:ser>
            </c15:filteredBarSeries>
            <c15:filteredBarSeries>
              <c15:ser>
                <c:idx val="4"/>
                <c:order val="4"/>
                <c:spPr>
                  <a:solidFill>
                    <a:schemeClr val="accent5"/>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Administrativo!$C$68:$H$69</c15:sqref>
                        </c15:formulaRef>
                      </c:ext>
                    </c:extLst>
                    <c:strCache>
                      <c:ptCount val="2"/>
                      <c:pt idx="0">
                        <c:v>Porcentaje Mobiliarios adquiridos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Administrativo!$H$68</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7-11C2-4BF8-AC16-C16C8BC028DC}"/>
                  </c:ext>
                </c:extLst>
              </c15:ser>
            </c15:filteredBarSeries>
          </c:ext>
        </c:extLst>
      </c:barChart>
      <c:catAx>
        <c:axId val="1182247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8226304"/>
        <c:crosses val="autoZero"/>
        <c:auto val="1"/>
        <c:lblAlgn val="ctr"/>
        <c:lblOffset val="100"/>
        <c:noMultiLvlLbl val="0"/>
      </c:catAx>
      <c:valAx>
        <c:axId val="118226304"/>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8224768"/>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rPr>
              <a:t>Apertura oficinas y punto GOB</a:t>
            </a:r>
          </a:p>
        </c:rich>
      </c:tx>
      <c:overlay val="0"/>
      <c:spPr>
        <a:noFill/>
        <a:ln>
          <a:noFill/>
        </a:ln>
        <a:effectLst/>
      </c:spPr>
    </c:title>
    <c:autoTitleDeleted val="0"/>
    <c:plotArea>
      <c:layout/>
      <c:barChart>
        <c:barDir val="bar"/>
        <c:grouping val="clustered"/>
        <c:varyColors val="0"/>
        <c:ser>
          <c:idx val="1"/>
          <c:order val="0"/>
          <c:spPr>
            <a:solidFill>
              <a:schemeClr val="accent2"/>
            </a:solidFill>
            <a:ln>
              <a:noFill/>
            </a:ln>
            <a:effectLst/>
            <a:scene3d>
              <a:camera prst="orthographicFront"/>
              <a:lightRig rig="threePt" dir="t"/>
            </a:scene3d>
            <a:sp3d>
              <a:bevelT/>
              <a:bevelB/>
            </a:sp3d>
          </c:spPr>
          <c:invertIfNegative val="0"/>
          <c:dPt>
            <c:idx val="0"/>
            <c:invertIfNegative val="0"/>
            <c:bubble3D val="0"/>
            <c:spPr>
              <a:solidFill>
                <a:srgbClr val="92D050"/>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2-CE2C-491C-80D2-6C1F30DB5EEE}"/>
              </c:ext>
            </c:extLst>
          </c:dPt>
          <c:dPt>
            <c:idx val="1"/>
            <c:invertIfNegative val="0"/>
            <c:bubble3D val="0"/>
            <c:spPr>
              <a:solidFill>
                <a:schemeClr val="accent6">
                  <a:lumMod val="50000"/>
                </a:schemeClr>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1-E7B8-4BDF-B2FD-6CEC0096077C}"/>
              </c:ext>
            </c:extLst>
          </c:dPt>
          <c:cat>
            <c:strRef>
              <c:f>Administrativo!$C$203:$C$204</c:f>
              <c:strCache>
                <c:ptCount val="2"/>
                <c:pt idx="0">
                  <c:v>Cantidad de apertura</c:v>
                </c:pt>
                <c:pt idx="1">
                  <c:v>Equivalente 1/100</c:v>
                </c:pt>
              </c:strCache>
            </c:strRef>
          </c:cat>
          <c:val>
            <c:numRef>
              <c:f>Administrativo!$E$203:$E$204</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2-E7B8-4BDF-B2FD-6CEC0096077C}"/>
            </c:ext>
          </c:extLst>
        </c:ser>
        <c:dLbls>
          <c:showLegendKey val="0"/>
          <c:showVal val="0"/>
          <c:showCatName val="0"/>
          <c:showSerName val="0"/>
          <c:showPercent val="0"/>
          <c:showBubbleSize val="0"/>
        </c:dLbls>
        <c:gapWidth val="182"/>
        <c:axId val="119266304"/>
        <c:axId val="119272192"/>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Administrativo!$C$203:$C$204</c15:sqref>
                        </c15:formulaRef>
                      </c:ext>
                    </c:extLst>
                    <c:strCache>
                      <c:ptCount val="2"/>
                      <c:pt idx="0">
                        <c:v>Cantidad de apertura</c:v>
                      </c:pt>
                      <c:pt idx="1">
                        <c:v>Equivalente 1/100</c:v>
                      </c:pt>
                    </c:strCache>
                  </c:strRef>
                </c:cat>
                <c:val>
                  <c:numRef>
                    <c:extLst xmlns:c16r2="http://schemas.microsoft.com/office/drawing/2015/06/chart">
                      <c:ext uri="{02D57815-91ED-43cb-92C2-25804820EDAC}">
                        <c15:formulaRef>
                          <c15:sqref>Administrativo!$D$203:$D$204</c15:sqref>
                        </c15:formulaRef>
                      </c:ext>
                    </c:extLst>
                    <c:numCache>
                      <c:formatCode>General</c:formatCode>
                      <c:ptCount val="2"/>
                    </c:numCache>
                  </c:numRef>
                </c:val>
                <c:extLst xmlns:c16r2="http://schemas.microsoft.com/office/drawing/2015/06/chart">
                  <c:ext xmlns:c16="http://schemas.microsoft.com/office/drawing/2014/chart" uri="{C3380CC4-5D6E-409C-BE32-E72D297353CC}">
                    <c16:uniqueId val="{00000003-E7B8-4BDF-B2FD-6CEC0096077C}"/>
                  </c:ext>
                </c:extLst>
              </c15:ser>
            </c15:filteredBarSeries>
          </c:ext>
        </c:extLst>
      </c:barChart>
      <c:catAx>
        <c:axId val="1192663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9272192"/>
        <c:crosses val="autoZero"/>
        <c:auto val="1"/>
        <c:lblAlgn val="ctr"/>
        <c:lblOffset val="100"/>
        <c:noMultiLvlLbl val="0"/>
      </c:catAx>
      <c:valAx>
        <c:axId val="119272192"/>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926630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flip="none" rotWithShape="1">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tileRect/>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Seguridad</a:t>
            </a:r>
            <a:r>
              <a:rPr lang="es-DO" b="1" baseline="0">
                <a:solidFill>
                  <a:schemeClr val="accent1">
                    <a:lumMod val="75000"/>
                  </a:schemeClr>
                </a:solidFill>
                <a:latin typeface="Times New Roman" panose="02020603050405020304" pitchFamily="18" charset="0"/>
                <a:cs typeface="Times New Roman" panose="02020603050405020304" pitchFamily="18" charset="0"/>
              </a:rPr>
              <a:t> de los Contribuyentes, Empleados y Planta Fisica.</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011422664406071"/>
          <c:y val="6.69420366048607E-2"/>
        </c:manualLayout>
      </c:layout>
      <c:overlay val="0"/>
      <c:spPr>
        <a:noFill/>
        <a:ln>
          <a:noFill/>
        </a:ln>
        <a:effectLst/>
      </c:spPr>
    </c:title>
    <c:autoTitleDeleted val="0"/>
    <c:plotArea>
      <c:layout/>
      <c:barChart>
        <c:barDir val="bar"/>
        <c:grouping val="clustered"/>
        <c:varyColors val="0"/>
        <c:ser>
          <c:idx val="3"/>
          <c:order val="0"/>
          <c:spPr>
            <a:solidFill>
              <a:schemeClr val="accent4"/>
            </a:solidFill>
            <a:ln>
              <a:noFill/>
            </a:ln>
            <a:effectLst/>
          </c:spPr>
          <c:invertIfNegative val="0"/>
          <c:dPt>
            <c:idx val="0"/>
            <c:invertIfNegative val="0"/>
            <c:bubble3D val="0"/>
            <c:spPr>
              <a:solidFill>
                <a:srgbClr val="92D050"/>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7EBE-4174-9174-A1D95F75383F}"/>
              </c:ext>
            </c:extLst>
          </c:dPt>
          <c:dPt>
            <c:idx val="1"/>
            <c:invertIfNegative val="0"/>
            <c:bubble3D val="0"/>
            <c:spPr>
              <a:solidFill>
                <a:schemeClr val="accent6">
                  <a:lumMod val="50000"/>
                </a:schemeClr>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3-7EBE-4174-9174-A1D95F75383F}"/>
              </c:ext>
            </c:extLst>
          </c:dPt>
          <c:cat>
            <c:strRef>
              <c:f>Seguridad!$B$2:$B$3</c:f>
              <c:strCache>
                <c:ptCount val="2"/>
                <c:pt idx="0">
                  <c:v>Porcentajes de medidas de seguridad establecidas</c:v>
                </c:pt>
                <c:pt idx="1">
                  <c:v>Equivalente 1/100</c:v>
                </c:pt>
              </c:strCache>
            </c:strRef>
          </c:cat>
          <c:val>
            <c:numRef>
              <c:f>Seguridad!$F$2:$F$3</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4-7EBE-4174-9174-A1D95F75383F}"/>
            </c:ext>
          </c:extLst>
        </c:ser>
        <c:dLbls>
          <c:showLegendKey val="0"/>
          <c:showVal val="0"/>
          <c:showCatName val="0"/>
          <c:showSerName val="0"/>
          <c:showPercent val="0"/>
          <c:showBubbleSize val="0"/>
        </c:dLbls>
        <c:gapWidth val="182"/>
        <c:axId val="119763712"/>
        <c:axId val="119765248"/>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Seguridad!$B$2:$B$3</c15:sqref>
                        </c15:formulaRef>
                      </c:ext>
                    </c:extLst>
                    <c:strCache>
                      <c:ptCount val="2"/>
                      <c:pt idx="0">
                        <c:v>Porcentajes de medidas de seguridad establecidas</c:v>
                      </c:pt>
                      <c:pt idx="1">
                        <c:v>Equivalente 1/100</c:v>
                      </c:pt>
                    </c:strCache>
                  </c:strRef>
                </c:cat>
                <c:val>
                  <c:numRef>
                    <c:extLst xmlns:c16r2="http://schemas.microsoft.com/office/drawing/2015/06/chart">
                      <c:ext uri="{02D57815-91ED-43cb-92C2-25804820EDAC}">
                        <c15:formulaRef>
                          <c15:sqref>Seguridad!$C$2:$C$3</c15:sqref>
                        </c15:formulaRef>
                      </c:ext>
                    </c:extLst>
                    <c:numCache>
                      <c:formatCode>General</c:formatCode>
                      <c:ptCount val="2"/>
                    </c:numCache>
                  </c:numRef>
                </c:val>
                <c:extLst xmlns:c16r2="http://schemas.microsoft.com/office/drawing/2015/06/chart">
                  <c:ext xmlns:c16="http://schemas.microsoft.com/office/drawing/2014/chart" uri="{C3380CC4-5D6E-409C-BE32-E72D297353CC}">
                    <c16:uniqueId val="{00000005-7EBE-4174-9174-A1D95F75383F}"/>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Seguridad!$B$2:$B$3</c15:sqref>
                        </c15:formulaRef>
                      </c:ext>
                    </c:extLst>
                    <c:strCache>
                      <c:ptCount val="2"/>
                      <c:pt idx="0">
                        <c:v>Porcentajes de medidas de seguridad establecidas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Seguridad!$D$2:$D$3</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6-7EBE-4174-9174-A1D95F75383F}"/>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Seguridad!$B$2:$B$3</c15:sqref>
                        </c15:formulaRef>
                      </c:ext>
                    </c:extLst>
                    <c:strCache>
                      <c:ptCount val="2"/>
                      <c:pt idx="0">
                        <c:v>Porcentajes de medidas de seguridad establecidas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Seguridad!$E$2:$E$3</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7-7EBE-4174-9174-A1D95F75383F}"/>
                  </c:ext>
                </c:extLst>
              </c15:ser>
            </c15:filteredBarSeries>
          </c:ext>
        </c:extLst>
      </c:barChart>
      <c:catAx>
        <c:axId val="1197637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9765248"/>
        <c:crossesAt val="0"/>
        <c:auto val="1"/>
        <c:lblAlgn val="ctr"/>
        <c:lblOffset val="100"/>
        <c:noMultiLvlLbl val="0"/>
      </c:catAx>
      <c:valAx>
        <c:axId val="119765248"/>
        <c:scaling>
          <c:orientation val="minMax"/>
          <c:max val="0.99990000000000001"/>
          <c:min val="-9.9999999999989176E-5"/>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9763712"/>
        <c:crosses val="autoZero"/>
        <c:crossBetween val="between"/>
        <c:majorUnit val="0.1"/>
        <c:minorUnit val="2.0000000000000004E-2"/>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ES"/>
              <a:t>Porcentaje T3 por Areas</a:t>
            </a:r>
          </a:p>
        </c:rich>
      </c:tx>
      <c:overlay val="0"/>
      <c:spPr>
        <a:noFill/>
        <a:ln>
          <a:noFill/>
        </a:ln>
        <a:effectLst/>
      </c:spPr>
    </c:title>
    <c:autoTitleDeleted val="0"/>
    <c:plotArea>
      <c:layout/>
      <c:barChart>
        <c:barDir val="col"/>
        <c:grouping val="clustered"/>
        <c:varyColors val="0"/>
        <c:ser>
          <c:idx val="0"/>
          <c:order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Hoja2!$A$6:$A$16</c:f>
              <c:strCache>
                <c:ptCount val="11"/>
                <c:pt idx="0">
                  <c:v>Recursos Humanos</c:v>
                </c:pt>
                <c:pt idx="1">
                  <c:v>Relaciones Consulares</c:v>
                </c:pt>
                <c:pt idx="2">
                  <c:v>Seguridad</c:v>
                </c:pt>
                <c:pt idx="3">
                  <c:v>Administrativo</c:v>
                </c:pt>
                <c:pt idx="4">
                  <c:v>Jurídico</c:v>
                </c:pt>
                <c:pt idx="5">
                  <c:v>Planificación y Desarrollo</c:v>
                </c:pt>
                <c:pt idx="6">
                  <c:v>Comunicaciones</c:v>
                </c:pt>
                <c:pt idx="7">
                  <c:v>Emisión y Renovación</c:v>
                </c:pt>
                <c:pt idx="8">
                  <c:v>Financiero</c:v>
                </c:pt>
                <c:pt idx="9">
                  <c:v>Tecnología de la Información y Comunicación</c:v>
                </c:pt>
                <c:pt idx="10">
                  <c:v>Supervicion en las operaciones </c:v>
                </c:pt>
              </c:strCache>
            </c:strRef>
          </c:cat>
          <c:val>
            <c:numRef>
              <c:f>Hoja2!$B$6:$B$16</c:f>
              <c:numCache>
                <c:formatCode>General</c:formatCode>
                <c:ptCount val="11"/>
                <c:pt idx="0">
                  <c:v>100</c:v>
                </c:pt>
                <c:pt idx="1">
                  <c:v>100</c:v>
                </c:pt>
                <c:pt idx="2">
                  <c:v>100</c:v>
                </c:pt>
                <c:pt idx="3">
                  <c:v>97</c:v>
                </c:pt>
                <c:pt idx="4">
                  <c:v>100</c:v>
                </c:pt>
                <c:pt idx="5">
                  <c:v>100</c:v>
                </c:pt>
                <c:pt idx="6">
                  <c:v>100</c:v>
                </c:pt>
                <c:pt idx="7">
                  <c:v>93</c:v>
                </c:pt>
                <c:pt idx="8">
                  <c:v>100</c:v>
                </c:pt>
                <c:pt idx="9">
                  <c:v>90</c:v>
                </c:pt>
                <c:pt idx="10">
                  <c:v>65</c:v>
                </c:pt>
              </c:numCache>
            </c:numRef>
          </c:val>
          <c:extLst xmlns:c16r2="http://schemas.microsoft.com/office/drawing/2015/06/chart">
            <c:ext xmlns:c16="http://schemas.microsoft.com/office/drawing/2014/chart" uri="{C3380CC4-5D6E-409C-BE32-E72D297353CC}">
              <c16:uniqueId val="{00000000-3339-4A6E-B276-C6B5755605E0}"/>
            </c:ext>
          </c:extLst>
        </c:ser>
        <c:dLbls>
          <c:showLegendKey val="0"/>
          <c:showVal val="0"/>
          <c:showCatName val="0"/>
          <c:showSerName val="0"/>
          <c:showPercent val="0"/>
          <c:showBubbleSize val="0"/>
        </c:dLbls>
        <c:gapWidth val="100"/>
        <c:overlap val="-24"/>
        <c:axId val="81517184"/>
        <c:axId val="84627840"/>
      </c:barChart>
      <c:catAx>
        <c:axId val="8151718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84627840"/>
        <c:crosses val="autoZero"/>
        <c:auto val="1"/>
        <c:lblAlgn val="ctr"/>
        <c:lblOffset val="100"/>
        <c:noMultiLvlLbl val="0"/>
      </c:catAx>
      <c:valAx>
        <c:axId val="84627840"/>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in"/>
        <c:minorTickMark val="none"/>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815171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Eficientización del procesos de liquidación del fondo reponible</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bar"/>
        <c:grouping val="clustered"/>
        <c:varyColors val="0"/>
        <c:ser>
          <c:idx val="5"/>
          <c:order val="0"/>
          <c:spPr>
            <a:solidFill>
              <a:schemeClr val="accent6"/>
            </a:solidFill>
            <a:ln>
              <a:noFill/>
            </a:ln>
            <a:effectLst/>
            <a:scene3d>
              <a:camera prst="orthographicFront"/>
              <a:lightRig rig="threePt" dir="t"/>
            </a:scene3d>
            <a:sp3d>
              <a:bevelT/>
            </a:sp3d>
          </c:spPr>
          <c:invertIfNegative val="0"/>
          <c:dPt>
            <c:idx val="1"/>
            <c:invertIfNegative val="0"/>
            <c:bubble3D val="0"/>
            <c:spPr>
              <a:solidFill>
                <a:schemeClr val="accent6">
                  <a:lumMod val="50000"/>
                </a:schemeClr>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6C6E-43C2-8512-F284895B35F4}"/>
              </c:ext>
            </c:extLst>
          </c:dPt>
          <c:cat>
            <c:strRef>
              <c:f>Financiero!$C$37:$H$38</c:f>
              <c:strCache>
                <c:ptCount val="2"/>
                <c:pt idx="0">
                  <c:v>Cantidades de pagos de fondos reponibles</c:v>
                </c:pt>
                <c:pt idx="1">
                  <c:v>Equivalente 1/100</c:v>
                </c:pt>
              </c:strCache>
            </c:strRef>
          </c:cat>
          <c:val>
            <c:numRef>
              <c:f>Financiero!$I$37:$I$38</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2-6C6E-43C2-8512-F284895B35F4}"/>
            </c:ext>
          </c:extLst>
        </c:ser>
        <c:dLbls>
          <c:showLegendKey val="0"/>
          <c:showVal val="0"/>
          <c:showCatName val="0"/>
          <c:showSerName val="0"/>
          <c:showPercent val="0"/>
          <c:showBubbleSize val="0"/>
        </c:dLbls>
        <c:gapWidth val="182"/>
        <c:axId val="119678464"/>
        <c:axId val="119680000"/>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Financiero!$C$37:$H$38</c15:sqref>
                        </c15:formulaRef>
                      </c:ext>
                    </c:extLst>
                    <c:strCache>
                      <c:ptCount val="2"/>
                      <c:pt idx="0">
                        <c:v>Cantidades de pagos de fondos reponibles</c:v>
                      </c:pt>
                      <c:pt idx="1">
                        <c:v>Equivalente 1/100</c:v>
                      </c:pt>
                    </c:strCache>
                  </c:strRef>
                </c:cat>
                <c:val>
                  <c:numRef>
                    <c:extLst xmlns:c16r2="http://schemas.microsoft.com/office/drawing/2015/06/chart">
                      <c:ext uri="{02D57815-91ED-43cb-92C2-25804820EDAC}">
                        <c15:formulaRef>
                          <c15:sqref>Financiero!$D$37</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3-6C6E-43C2-8512-F284895B35F4}"/>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Financiero!$C$37:$H$38</c15:sqref>
                        </c15:formulaRef>
                      </c:ext>
                    </c:extLst>
                    <c:strCache>
                      <c:ptCount val="2"/>
                      <c:pt idx="0">
                        <c:v>Cantidades de pagos de fondos reponibles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Financiero!$E$37</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4-6C6E-43C2-8512-F284895B35F4}"/>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Financiero!$C$37:$H$38</c15:sqref>
                        </c15:formulaRef>
                      </c:ext>
                    </c:extLst>
                    <c:strCache>
                      <c:ptCount val="2"/>
                      <c:pt idx="0">
                        <c:v>Cantidades de pagos de fondos reponibles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Financiero!$F$37</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5-6C6E-43C2-8512-F284895B35F4}"/>
                  </c:ext>
                </c:extLst>
              </c15:ser>
            </c15:filteredBarSeries>
            <c15:filteredBarSeries>
              <c15:ser>
                <c:idx val="3"/>
                <c:order val="3"/>
                <c:spPr>
                  <a:solidFill>
                    <a:schemeClr val="accent4"/>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Financiero!$C$37:$H$38</c15:sqref>
                        </c15:formulaRef>
                      </c:ext>
                    </c:extLst>
                    <c:strCache>
                      <c:ptCount val="2"/>
                      <c:pt idx="0">
                        <c:v>Cantidades de pagos de fondos reponibles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Financiero!$G$37</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6-6C6E-43C2-8512-F284895B35F4}"/>
                  </c:ext>
                </c:extLst>
              </c15:ser>
            </c15:filteredBarSeries>
            <c15:filteredBarSeries>
              <c15:ser>
                <c:idx val="4"/>
                <c:order val="4"/>
                <c:spPr>
                  <a:solidFill>
                    <a:schemeClr val="accent5"/>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Financiero!$C$37:$H$38</c15:sqref>
                        </c15:formulaRef>
                      </c:ext>
                    </c:extLst>
                    <c:strCache>
                      <c:ptCount val="2"/>
                      <c:pt idx="0">
                        <c:v>Cantidades de pagos de fondos reponibles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Financiero!$H$37</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7-6C6E-43C2-8512-F284895B35F4}"/>
                  </c:ext>
                </c:extLst>
              </c15:ser>
            </c15:filteredBarSeries>
          </c:ext>
        </c:extLst>
      </c:barChart>
      <c:catAx>
        <c:axId val="119678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9680000"/>
        <c:crosses val="autoZero"/>
        <c:auto val="1"/>
        <c:lblAlgn val="ctr"/>
        <c:lblOffset val="100"/>
        <c:noMultiLvlLbl val="0"/>
      </c:catAx>
      <c:valAx>
        <c:axId val="119680000"/>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9678464"/>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Eficientizacion del cobro de los ingresos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bar"/>
        <c:grouping val="clustered"/>
        <c:varyColors val="0"/>
        <c:ser>
          <c:idx val="5"/>
          <c:order val="0"/>
          <c:spPr>
            <a:solidFill>
              <a:schemeClr val="accent6"/>
            </a:solidFill>
            <a:ln>
              <a:noFill/>
            </a:ln>
            <a:effectLst/>
            <a:scene3d>
              <a:camera prst="orthographicFront"/>
              <a:lightRig rig="threePt" dir="t"/>
            </a:scene3d>
            <a:sp3d>
              <a:bevelT/>
            </a:sp3d>
          </c:spPr>
          <c:invertIfNegative val="0"/>
          <c:dPt>
            <c:idx val="0"/>
            <c:invertIfNegative val="0"/>
            <c:bubble3D val="0"/>
            <c:spPr>
              <a:solidFill>
                <a:srgbClr val="92D050"/>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483A-40A4-B611-752B801CF372}"/>
              </c:ext>
            </c:extLst>
          </c:dPt>
          <c:dPt>
            <c:idx val="1"/>
            <c:invertIfNegative val="0"/>
            <c:bubble3D val="0"/>
            <c:spPr>
              <a:solidFill>
                <a:schemeClr val="accent6">
                  <a:lumMod val="50000"/>
                </a:schemeClr>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3-483A-40A4-B611-752B801CF372}"/>
              </c:ext>
            </c:extLst>
          </c:dPt>
          <c:cat>
            <c:strRef>
              <c:f>Financiero!$C$54:$H$55</c:f>
              <c:strCache>
                <c:ptCount val="2"/>
                <c:pt idx="0">
                  <c:v>Cantidad de informe comparativo de recaudaciones</c:v>
                </c:pt>
                <c:pt idx="1">
                  <c:v>Equivalente 1/100</c:v>
                </c:pt>
              </c:strCache>
            </c:strRef>
          </c:cat>
          <c:val>
            <c:numRef>
              <c:f>Financiero!$I$54:$I$55</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4-483A-40A4-B611-752B801CF372}"/>
            </c:ext>
          </c:extLst>
        </c:ser>
        <c:dLbls>
          <c:showLegendKey val="0"/>
          <c:showVal val="0"/>
          <c:showCatName val="0"/>
          <c:showSerName val="0"/>
          <c:showPercent val="0"/>
          <c:showBubbleSize val="0"/>
        </c:dLbls>
        <c:gapWidth val="219"/>
        <c:axId val="120715904"/>
        <c:axId val="120598912"/>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Financiero!$C$54:$H$55</c15:sqref>
                        </c15:formulaRef>
                      </c:ext>
                    </c:extLst>
                    <c:strCache>
                      <c:ptCount val="2"/>
                      <c:pt idx="0">
                        <c:v>Cantidad de informe comparativo de recaudaciones</c:v>
                      </c:pt>
                      <c:pt idx="1">
                        <c:v>Equivalente 1/100</c:v>
                      </c:pt>
                    </c:strCache>
                  </c:strRef>
                </c:cat>
                <c:val>
                  <c:numRef>
                    <c:extLst xmlns:c16r2="http://schemas.microsoft.com/office/drawing/2015/06/chart">
                      <c:ext uri="{02D57815-91ED-43cb-92C2-25804820EDAC}">
                        <c15:formulaRef>
                          <c15:sqref>Financiero!$D$54</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5-483A-40A4-B611-752B801CF372}"/>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Financiero!$C$54:$H$55</c15:sqref>
                        </c15:formulaRef>
                      </c:ext>
                    </c:extLst>
                    <c:strCache>
                      <c:ptCount val="2"/>
                      <c:pt idx="0">
                        <c:v>Cantidad de informe comparativo de recaudaciones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Financiero!$E$54</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6-483A-40A4-B611-752B801CF372}"/>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Financiero!$C$54:$H$55</c15:sqref>
                        </c15:formulaRef>
                      </c:ext>
                    </c:extLst>
                    <c:strCache>
                      <c:ptCount val="2"/>
                      <c:pt idx="0">
                        <c:v>Cantidad de informe comparativo de recaudaciones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Financiero!$F$54</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7-483A-40A4-B611-752B801CF372}"/>
                  </c:ext>
                </c:extLst>
              </c15:ser>
            </c15:filteredBarSeries>
            <c15:filteredBarSeries>
              <c15:ser>
                <c:idx val="3"/>
                <c:order val="3"/>
                <c:spPr>
                  <a:solidFill>
                    <a:schemeClr val="accent4"/>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Financiero!$C$54:$H$55</c15:sqref>
                        </c15:formulaRef>
                      </c:ext>
                    </c:extLst>
                    <c:strCache>
                      <c:ptCount val="2"/>
                      <c:pt idx="0">
                        <c:v>Cantidad de informe comparativo de recaudaciones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Financiero!$G$54</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8-483A-40A4-B611-752B801CF372}"/>
                  </c:ext>
                </c:extLst>
              </c15:ser>
            </c15:filteredBarSeries>
            <c15:filteredBarSeries>
              <c15:ser>
                <c:idx val="4"/>
                <c:order val="4"/>
                <c:spPr>
                  <a:solidFill>
                    <a:schemeClr val="accent5"/>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Financiero!$C$54:$H$55</c15:sqref>
                        </c15:formulaRef>
                      </c:ext>
                    </c:extLst>
                    <c:strCache>
                      <c:ptCount val="2"/>
                      <c:pt idx="0">
                        <c:v>Cantidad de informe comparativo de recaudaciones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Financiero!$H$54</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9-483A-40A4-B611-752B801CF372}"/>
                  </c:ext>
                </c:extLst>
              </c15:ser>
            </c15:filteredBarSeries>
          </c:ext>
        </c:extLst>
      </c:barChart>
      <c:catAx>
        <c:axId val="1207159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0598912"/>
        <c:crosses val="autoZero"/>
        <c:auto val="1"/>
        <c:lblAlgn val="ctr"/>
        <c:lblOffset val="100"/>
        <c:noMultiLvlLbl val="0"/>
      </c:catAx>
      <c:valAx>
        <c:axId val="120598912"/>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0715904"/>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 Eficientización de las Cuentas por Cobrar Consulados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bar"/>
        <c:grouping val="clustered"/>
        <c:varyColors val="0"/>
        <c:ser>
          <c:idx val="2"/>
          <c:order val="0"/>
          <c:spPr>
            <a:solidFill>
              <a:schemeClr val="accent3"/>
            </a:solidFill>
            <a:ln>
              <a:noFill/>
            </a:ln>
            <a:effectLst/>
            <a:scene3d>
              <a:camera prst="orthographicFront"/>
              <a:lightRig rig="threePt" dir="t"/>
            </a:scene3d>
            <a:sp3d>
              <a:bevelT/>
            </a:sp3d>
          </c:spPr>
          <c:invertIfNegative val="0"/>
          <c:dPt>
            <c:idx val="0"/>
            <c:invertIfNegative val="0"/>
            <c:bubble3D val="0"/>
            <c:spPr>
              <a:solidFill>
                <a:srgbClr val="92D050"/>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68FC-4D53-A439-25B021E15B68}"/>
              </c:ext>
            </c:extLst>
          </c:dPt>
          <c:dPt>
            <c:idx val="1"/>
            <c:invertIfNegative val="0"/>
            <c:bubble3D val="0"/>
            <c:spPr>
              <a:solidFill>
                <a:schemeClr val="accent6">
                  <a:lumMod val="50000"/>
                </a:schemeClr>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3-68FC-4D53-A439-25B021E15B68}"/>
              </c:ext>
            </c:extLst>
          </c:dPt>
          <c:cat>
            <c:strRef>
              <c:f>Financiero!$C$71:$E$72</c:f>
              <c:strCache>
                <c:ptCount val="2"/>
                <c:pt idx="0">
                  <c:v>	Cantidad de informes realizados</c:v>
                </c:pt>
                <c:pt idx="1">
                  <c:v>Equivalente 1/100</c:v>
                </c:pt>
              </c:strCache>
            </c:strRef>
          </c:cat>
          <c:val>
            <c:numRef>
              <c:f>Financiero!$F$71:$F$72</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4-68FC-4D53-A439-25B021E15B68}"/>
            </c:ext>
          </c:extLst>
        </c:ser>
        <c:dLbls>
          <c:showLegendKey val="0"/>
          <c:showVal val="0"/>
          <c:showCatName val="0"/>
          <c:showSerName val="0"/>
          <c:showPercent val="0"/>
          <c:showBubbleSize val="0"/>
        </c:dLbls>
        <c:gapWidth val="182"/>
        <c:axId val="120696832"/>
        <c:axId val="120698368"/>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Financiero!$C$71:$E$72</c15:sqref>
                        </c15:formulaRef>
                      </c:ext>
                    </c:extLst>
                    <c:strCache>
                      <c:ptCount val="2"/>
                      <c:pt idx="0">
                        <c:v>	Cantidad de informes realizados</c:v>
                      </c:pt>
                      <c:pt idx="1">
                        <c:v>Equivalente 1/100</c:v>
                      </c:pt>
                    </c:strCache>
                  </c:strRef>
                </c:cat>
                <c:val>
                  <c:numRef>
                    <c:extLst xmlns:c16r2="http://schemas.microsoft.com/office/drawing/2015/06/chart">
                      <c:ext uri="{02D57815-91ED-43cb-92C2-25804820EDAC}">
                        <c15:formulaRef>
                          <c15:sqref>Financiero!$D$71</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5-68FC-4D53-A439-25B021E15B68}"/>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Financiero!$C$71:$E$72</c15:sqref>
                        </c15:formulaRef>
                      </c:ext>
                    </c:extLst>
                    <c:strCache>
                      <c:ptCount val="2"/>
                      <c:pt idx="0">
                        <c:v>	Cantidad de informes realizados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Financiero!$E$71</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6-68FC-4D53-A439-25B021E15B68}"/>
                  </c:ext>
                </c:extLst>
              </c15:ser>
            </c15:filteredBarSeries>
          </c:ext>
        </c:extLst>
      </c:barChart>
      <c:catAx>
        <c:axId val="1206968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0698368"/>
        <c:crosses val="autoZero"/>
        <c:auto val="1"/>
        <c:lblAlgn val="ctr"/>
        <c:lblOffset val="100"/>
        <c:noMultiLvlLbl val="0"/>
      </c:catAx>
      <c:valAx>
        <c:axId val="120698368"/>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0696832"/>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Eficientización</a:t>
            </a:r>
            <a:r>
              <a:rPr lang="es-DO" b="1" baseline="0">
                <a:solidFill>
                  <a:schemeClr val="accent1">
                    <a:lumMod val="75000"/>
                  </a:schemeClr>
                </a:solidFill>
                <a:latin typeface="Times New Roman" panose="02020603050405020304" pitchFamily="18" charset="0"/>
                <a:cs typeface="Times New Roman" panose="02020603050405020304" pitchFamily="18" charset="0"/>
              </a:rPr>
              <a:t> de las cuentas por pagar</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bar"/>
        <c:grouping val="clustered"/>
        <c:varyColors val="0"/>
        <c:ser>
          <c:idx val="3"/>
          <c:order val="0"/>
          <c:spPr>
            <a:solidFill>
              <a:schemeClr val="accent4"/>
            </a:solidFill>
            <a:ln>
              <a:noFill/>
            </a:ln>
            <a:effectLst/>
            <a:scene3d>
              <a:camera prst="orthographicFront"/>
              <a:lightRig rig="threePt" dir="t"/>
            </a:scene3d>
            <a:sp3d>
              <a:bevelT/>
            </a:sp3d>
          </c:spPr>
          <c:invertIfNegative val="0"/>
          <c:dPt>
            <c:idx val="0"/>
            <c:invertIfNegative val="0"/>
            <c:bubble3D val="0"/>
            <c:spPr>
              <a:solidFill>
                <a:srgbClr val="92D050"/>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97A4-4581-81FC-29B293FDF05F}"/>
              </c:ext>
            </c:extLst>
          </c:dPt>
          <c:dPt>
            <c:idx val="1"/>
            <c:invertIfNegative val="0"/>
            <c:bubble3D val="0"/>
            <c:spPr>
              <a:solidFill>
                <a:schemeClr val="accent6">
                  <a:lumMod val="50000"/>
                </a:schemeClr>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3-97A4-4581-81FC-29B293FDF05F}"/>
              </c:ext>
            </c:extLst>
          </c:dPt>
          <c:cat>
            <c:strRef>
              <c:f>Financiero!$C$88:$C$89</c:f>
              <c:strCache>
                <c:ptCount val="2"/>
                <c:pt idx="0">
                  <c:v>Cantidad de informes</c:v>
                </c:pt>
                <c:pt idx="1">
                  <c:v>Equivalente 1/100</c:v>
                </c:pt>
              </c:strCache>
            </c:strRef>
          </c:cat>
          <c:val>
            <c:numRef>
              <c:f>Financiero!$G$88:$G$89</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4-97A4-4581-81FC-29B293FDF05F}"/>
            </c:ext>
          </c:extLst>
        </c:ser>
        <c:dLbls>
          <c:showLegendKey val="0"/>
          <c:showVal val="0"/>
          <c:showCatName val="0"/>
          <c:showSerName val="0"/>
          <c:showPercent val="0"/>
          <c:showBubbleSize val="0"/>
        </c:dLbls>
        <c:gapWidth val="182"/>
        <c:axId val="121119872"/>
        <c:axId val="121121408"/>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Financiero!$C$88:$C$89</c15:sqref>
                        </c15:formulaRef>
                      </c:ext>
                    </c:extLst>
                    <c:strCache>
                      <c:ptCount val="2"/>
                      <c:pt idx="0">
                        <c:v>Cantidad de informes</c:v>
                      </c:pt>
                      <c:pt idx="1">
                        <c:v>Equivalente 1/100</c:v>
                      </c:pt>
                    </c:strCache>
                  </c:strRef>
                </c:cat>
                <c:val>
                  <c:numRef>
                    <c:extLst xmlns:c16r2="http://schemas.microsoft.com/office/drawing/2015/06/chart">
                      <c:ext uri="{02D57815-91ED-43cb-92C2-25804820EDAC}">
                        <c15:formulaRef>
                          <c15:sqref>Financiero!$D$88:$D$89</c15:sqref>
                        </c15:formulaRef>
                      </c:ext>
                    </c:extLst>
                    <c:numCache>
                      <c:formatCode>General</c:formatCode>
                      <c:ptCount val="2"/>
                    </c:numCache>
                  </c:numRef>
                </c:val>
                <c:extLst xmlns:c16r2="http://schemas.microsoft.com/office/drawing/2015/06/chart">
                  <c:ext xmlns:c16="http://schemas.microsoft.com/office/drawing/2014/chart" uri="{C3380CC4-5D6E-409C-BE32-E72D297353CC}">
                    <c16:uniqueId val="{00000005-97A4-4581-81FC-29B293FDF05F}"/>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Financiero!$C$88:$C$89</c15:sqref>
                        </c15:formulaRef>
                      </c:ext>
                    </c:extLst>
                    <c:strCache>
                      <c:ptCount val="2"/>
                      <c:pt idx="0">
                        <c:v>Cantidad de informes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Financiero!$E$88:$E$89</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6-97A4-4581-81FC-29B293FDF05F}"/>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Financiero!$C$88:$C$89</c15:sqref>
                        </c15:formulaRef>
                      </c:ext>
                    </c:extLst>
                    <c:strCache>
                      <c:ptCount val="2"/>
                      <c:pt idx="0">
                        <c:v>Cantidad de informes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Financiero!$F$88:$F$89</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7-97A4-4581-81FC-29B293FDF05F}"/>
                  </c:ext>
                </c:extLst>
              </c15:ser>
            </c15:filteredBarSeries>
          </c:ext>
        </c:extLst>
      </c:barChart>
      <c:catAx>
        <c:axId val="1211198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1121408"/>
        <c:crosses val="autoZero"/>
        <c:auto val="1"/>
        <c:lblAlgn val="ctr"/>
        <c:lblOffset val="100"/>
        <c:noMultiLvlLbl val="0"/>
      </c:catAx>
      <c:valAx>
        <c:axId val="121121408"/>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1119872"/>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DO" b="1" baseline="0">
                <a:solidFill>
                  <a:schemeClr val="accent1">
                    <a:lumMod val="75000"/>
                  </a:schemeClr>
                </a:solidFill>
                <a:latin typeface="Times New Roman" panose="02020603050405020304" pitchFamily="18" charset="0"/>
                <a:cs typeface="Times New Roman" panose="02020603050405020304" pitchFamily="18" charset="0"/>
              </a:rPr>
              <a:t>Elaboración de informes semestrales para DIGECOG</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bar"/>
        <c:grouping val="clustered"/>
        <c:varyColors val="0"/>
        <c:ser>
          <c:idx val="2"/>
          <c:order val="0"/>
          <c:spPr>
            <a:solidFill>
              <a:schemeClr val="accent6">
                <a:lumMod val="50000"/>
              </a:schemeClr>
            </a:solidFill>
            <a:ln>
              <a:noFill/>
            </a:ln>
            <a:effectLst/>
            <a:scene3d>
              <a:camera prst="orthographicFront"/>
              <a:lightRig rig="threePt" dir="t"/>
            </a:scene3d>
            <a:sp3d>
              <a:bevelT/>
            </a:sp3d>
          </c:spPr>
          <c:invertIfNegative val="0"/>
          <c:dPt>
            <c:idx val="0"/>
            <c:invertIfNegative val="0"/>
            <c:bubble3D val="0"/>
            <c:spPr>
              <a:solidFill>
                <a:srgbClr val="92D050"/>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540E-4F9C-826A-4616E82AFDAB}"/>
              </c:ext>
            </c:extLst>
          </c:dPt>
          <c:cat>
            <c:strRef>
              <c:f>Financiero!$C$105:$C$106</c:f>
              <c:strCache>
                <c:ptCount val="2"/>
                <c:pt idx="0">
                  <c:v>Cantidad de informe</c:v>
                </c:pt>
                <c:pt idx="1">
                  <c:v>Equivalente 1/100</c:v>
                </c:pt>
              </c:strCache>
            </c:strRef>
          </c:cat>
          <c:val>
            <c:numRef>
              <c:f>Financiero!$F$105:$F$106</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2-540E-4F9C-826A-4616E82AFDAB}"/>
            </c:ext>
          </c:extLst>
        </c:ser>
        <c:dLbls>
          <c:showLegendKey val="0"/>
          <c:showVal val="0"/>
          <c:showCatName val="0"/>
          <c:showSerName val="0"/>
          <c:showPercent val="0"/>
          <c:showBubbleSize val="0"/>
        </c:dLbls>
        <c:gapWidth val="182"/>
        <c:axId val="121689600"/>
        <c:axId val="121691136"/>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Financiero!$C$105:$C$106</c15:sqref>
                        </c15:formulaRef>
                      </c:ext>
                    </c:extLst>
                    <c:strCache>
                      <c:ptCount val="2"/>
                      <c:pt idx="0">
                        <c:v>Cantidad de informe</c:v>
                      </c:pt>
                      <c:pt idx="1">
                        <c:v>Equivalente 1/100</c:v>
                      </c:pt>
                    </c:strCache>
                  </c:strRef>
                </c:cat>
                <c:val>
                  <c:numRef>
                    <c:extLst xmlns:c16r2="http://schemas.microsoft.com/office/drawing/2015/06/chart">
                      <c:ext uri="{02D57815-91ED-43cb-92C2-25804820EDAC}">
                        <c15:formulaRef>
                          <c15:sqref>Financiero!$D$105:$D$106</c15:sqref>
                        </c15:formulaRef>
                      </c:ext>
                    </c:extLst>
                    <c:numCache>
                      <c:formatCode>General</c:formatCode>
                      <c:ptCount val="2"/>
                    </c:numCache>
                  </c:numRef>
                </c:val>
                <c:extLst xmlns:c16r2="http://schemas.microsoft.com/office/drawing/2015/06/chart">
                  <c:ext xmlns:c16="http://schemas.microsoft.com/office/drawing/2014/chart" uri="{C3380CC4-5D6E-409C-BE32-E72D297353CC}">
                    <c16:uniqueId val="{00000003-540E-4F9C-826A-4616E82AFDAB}"/>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Financiero!$C$105:$C$106</c15:sqref>
                        </c15:formulaRef>
                      </c:ext>
                    </c:extLst>
                    <c:strCache>
                      <c:ptCount val="2"/>
                      <c:pt idx="0">
                        <c:v>Cantidad de informe</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Financiero!$E$105:$E$106</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4-540E-4F9C-826A-4616E82AFDAB}"/>
                  </c:ext>
                </c:extLst>
              </c15:ser>
            </c15:filteredBarSeries>
          </c:ext>
        </c:extLst>
      </c:barChart>
      <c:catAx>
        <c:axId val="1216896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1691136"/>
        <c:crosses val="autoZero"/>
        <c:auto val="1"/>
        <c:lblAlgn val="ctr"/>
        <c:lblOffset val="100"/>
        <c:noMultiLvlLbl val="0"/>
      </c:catAx>
      <c:valAx>
        <c:axId val="121691136"/>
        <c:scaling>
          <c:orientation val="minMax"/>
          <c:max val="0.999"/>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1689600"/>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Adquisicion</a:t>
            </a:r>
            <a:r>
              <a:rPr lang="es-DO" b="1" baseline="0">
                <a:solidFill>
                  <a:schemeClr val="accent1">
                    <a:lumMod val="75000"/>
                  </a:schemeClr>
                </a:solidFill>
                <a:latin typeface="Times New Roman" panose="02020603050405020304" pitchFamily="18" charset="0"/>
                <a:cs typeface="Times New Roman" panose="02020603050405020304" pitchFamily="18" charset="0"/>
              </a:rPr>
              <a:t> de equipo TIC para el nuevo local</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itle>
    <c:autoTitleDeleted val="0"/>
    <c:plotArea>
      <c:layout/>
      <c:barChart>
        <c:barDir val="bar"/>
        <c:grouping val="clustered"/>
        <c:varyColors val="0"/>
        <c:ser>
          <c:idx val="3"/>
          <c:order val="0"/>
          <c:spPr>
            <a:solidFill>
              <a:schemeClr val="accent6">
                <a:lumMod val="50000"/>
              </a:schemeClr>
            </a:solidFill>
            <a:ln>
              <a:noFill/>
            </a:ln>
            <a:effectLst/>
            <a:scene3d>
              <a:camera prst="orthographicFront"/>
              <a:lightRig rig="threePt" dir="t"/>
            </a:scene3d>
            <a:sp3d>
              <a:bevelT/>
              <a:bevelB/>
            </a:sp3d>
          </c:spPr>
          <c:invertIfNegative val="0"/>
          <c:dPt>
            <c:idx val="0"/>
            <c:invertIfNegative val="0"/>
            <c:bubble3D val="0"/>
            <c:spPr>
              <a:solidFill>
                <a:srgbClr val="92D050"/>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1-1BD6-4987-BF19-5E47A3143973}"/>
              </c:ext>
            </c:extLst>
          </c:dPt>
          <c:cat>
            <c:strRef>
              <c:f>TIC!$C$2:$C$3</c:f>
              <c:strCache>
                <c:ptCount val="2"/>
                <c:pt idx="0">
                  <c:v>Porcentaje de equipo adquirido</c:v>
                </c:pt>
                <c:pt idx="1">
                  <c:v>Equivalente 1/100</c:v>
                </c:pt>
              </c:strCache>
            </c:strRef>
          </c:cat>
          <c:val>
            <c:numRef>
              <c:f>TIC!$G$2:$G$3</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2-1BD6-4987-BF19-5E47A3143973}"/>
            </c:ext>
          </c:extLst>
        </c:ser>
        <c:dLbls>
          <c:showLegendKey val="0"/>
          <c:showVal val="0"/>
          <c:showCatName val="0"/>
          <c:showSerName val="0"/>
          <c:showPercent val="0"/>
          <c:showBubbleSize val="0"/>
        </c:dLbls>
        <c:gapWidth val="182"/>
        <c:axId val="122128256"/>
        <c:axId val="122129792"/>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TIC!$C$2:$C$3</c15:sqref>
                        </c15:formulaRef>
                      </c:ext>
                    </c:extLst>
                    <c:strCache>
                      <c:ptCount val="2"/>
                      <c:pt idx="0">
                        <c:v>Porcentaje de equipo adquirido</c:v>
                      </c:pt>
                      <c:pt idx="1">
                        <c:v>Equivalente 1/100</c:v>
                      </c:pt>
                    </c:strCache>
                  </c:strRef>
                </c:cat>
                <c:val>
                  <c:numRef>
                    <c:extLst xmlns:c16r2="http://schemas.microsoft.com/office/drawing/2015/06/chart">
                      <c:ext uri="{02D57815-91ED-43cb-92C2-25804820EDAC}">
                        <c15:formulaRef>
                          <c15:sqref>TIC!$D$2:$D$3</c15:sqref>
                        </c15:formulaRef>
                      </c:ext>
                    </c:extLst>
                    <c:numCache>
                      <c:formatCode>General</c:formatCode>
                      <c:ptCount val="2"/>
                    </c:numCache>
                  </c:numRef>
                </c:val>
                <c:extLst xmlns:c16r2="http://schemas.microsoft.com/office/drawing/2015/06/chart">
                  <c:ext xmlns:c16="http://schemas.microsoft.com/office/drawing/2014/chart" uri="{C3380CC4-5D6E-409C-BE32-E72D297353CC}">
                    <c16:uniqueId val="{00000003-1BD6-4987-BF19-5E47A3143973}"/>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TIC!$C$2:$C$3</c15:sqref>
                        </c15:formulaRef>
                      </c:ext>
                    </c:extLst>
                    <c:strCache>
                      <c:ptCount val="2"/>
                      <c:pt idx="0">
                        <c:v>Porcentaje de equipo adquirido</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TIC!$E$2:$E$3</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4-1BD6-4987-BF19-5E47A3143973}"/>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TIC!$C$2:$C$3</c15:sqref>
                        </c15:formulaRef>
                      </c:ext>
                    </c:extLst>
                    <c:strCache>
                      <c:ptCount val="2"/>
                      <c:pt idx="0">
                        <c:v>Porcentaje de equipo adquirido</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TIC!$F$2:$F$3</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5-1BD6-4987-BF19-5E47A3143973}"/>
                  </c:ext>
                </c:extLst>
              </c15:ser>
            </c15:filteredBarSeries>
          </c:ext>
        </c:extLst>
      </c:barChart>
      <c:catAx>
        <c:axId val="1221282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2129792"/>
        <c:crosses val="autoZero"/>
        <c:auto val="1"/>
        <c:lblAlgn val="ctr"/>
        <c:lblOffset val="100"/>
        <c:noMultiLvlLbl val="0"/>
      </c:catAx>
      <c:valAx>
        <c:axId val="122129792"/>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2128256"/>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Impletentación</a:t>
            </a:r>
            <a:r>
              <a:rPr lang="es-DO" b="1" baseline="0">
                <a:solidFill>
                  <a:schemeClr val="accent1">
                    <a:lumMod val="75000"/>
                  </a:schemeClr>
                </a:solidFill>
                <a:latin typeface="Times New Roman" panose="02020603050405020304" pitchFamily="18" charset="0"/>
                <a:cs typeface="Times New Roman" panose="02020603050405020304" pitchFamily="18" charset="0"/>
              </a:rPr>
              <a:t> del sistema de monioreo y servicios servidos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bar"/>
        <c:grouping val="clustered"/>
        <c:varyColors val="0"/>
        <c:ser>
          <c:idx val="4"/>
          <c:order val="0"/>
          <c:spPr>
            <a:solidFill>
              <a:schemeClr val="accent5"/>
            </a:solidFill>
            <a:ln>
              <a:noFill/>
            </a:ln>
            <a:effectLst/>
            <a:scene3d>
              <a:camera prst="orthographicFront"/>
              <a:lightRig rig="threePt" dir="t"/>
            </a:scene3d>
            <a:sp3d>
              <a:bevelT/>
            </a:sp3d>
          </c:spPr>
          <c:invertIfNegative val="0"/>
          <c:dPt>
            <c:idx val="0"/>
            <c:invertIfNegative val="0"/>
            <c:bubble3D val="0"/>
            <c:spPr>
              <a:solidFill>
                <a:srgbClr val="FFFF00"/>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0D91-482D-8A77-B30F8617D2DA}"/>
              </c:ext>
            </c:extLst>
          </c:dPt>
          <c:dPt>
            <c:idx val="1"/>
            <c:invertIfNegative val="0"/>
            <c:bubble3D val="0"/>
            <c:spPr>
              <a:solidFill>
                <a:schemeClr val="accent6">
                  <a:lumMod val="50000"/>
                </a:schemeClr>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3-0D91-482D-8A77-B30F8617D2DA}"/>
              </c:ext>
            </c:extLst>
          </c:dPt>
          <c:cat>
            <c:strRef>
              <c:f>TIC!$C$19:$G$20</c:f>
              <c:strCache>
                <c:ptCount val="2"/>
                <c:pt idx="0">
                  <c:v>Porcentaje de implementación y evidencia de configuración</c:v>
                </c:pt>
                <c:pt idx="1">
                  <c:v>Equivalente 1/100</c:v>
                </c:pt>
              </c:strCache>
            </c:strRef>
          </c:cat>
          <c:val>
            <c:numRef>
              <c:f>TIC!$H$19:$H$20</c:f>
              <c:numCache>
                <c:formatCode>0%</c:formatCode>
                <c:ptCount val="2"/>
                <c:pt idx="0">
                  <c:v>0.75</c:v>
                </c:pt>
                <c:pt idx="1">
                  <c:v>1</c:v>
                </c:pt>
              </c:numCache>
            </c:numRef>
          </c:val>
          <c:extLst xmlns:c16r2="http://schemas.microsoft.com/office/drawing/2015/06/chart">
            <c:ext xmlns:c16="http://schemas.microsoft.com/office/drawing/2014/chart" uri="{C3380CC4-5D6E-409C-BE32-E72D297353CC}">
              <c16:uniqueId val="{00000004-0D91-482D-8A77-B30F8617D2DA}"/>
            </c:ext>
          </c:extLst>
        </c:ser>
        <c:dLbls>
          <c:showLegendKey val="0"/>
          <c:showVal val="0"/>
          <c:showCatName val="0"/>
          <c:showSerName val="0"/>
          <c:showPercent val="0"/>
          <c:showBubbleSize val="0"/>
        </c:dLbls>
        <c:gapWidth val="182"/>
        <c:axId val="125242752"/>
        <c:axId val="125248640"/>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TIC!$C$19:$G$20</c15:sqref>
                        </c15:formulaRef>
                      </c:ext>
                    </c:extLst>
                    <c:strCache>
                      <c:ptCount val="2"/>
                      <c:pt idx="0">
                        <c:v>Porcentaje de implementación y evidencia de configuración</c:v>
                      </c:pt>
                      <c:pt idx="1">
                        <c:v>Equivalente 1/100</c:v>
                      </c:pt>
                    </c:strCache>
                  </c:strRef>
                </c:cat>
                <c:val>
                  <c:numRef>
                    <c:extLst xmlns:c16r2="http://schemas.microsoft.com/office/drawing/2015/06/chart">
                      <c:ext uri="{02D57815-91ED-43cb-92C2-25804820EDAC}">
                        <c15:formulaRef>
                          <c15:sqref>TIC!$D$19</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5-0D91-482D-8A77-B30F8617D2DA}"/>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TIC!$C$19:$G$20</c15:sqref>
                        </c15:formulaRef>
                      </c:ext>
                    </c:extLst>
                    <c:strCache>
                      <c:ptCount val="2"/>
                      <c:pt idx="0">
                        <c:v>Porcentaje de implementación y evidencia de configuración</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TIC!$E$19</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6-0D91-482D-8A77-B30F8617D2DA}"/>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TIC!$C$19:$G$20</c15:sqref>
                        </c15:formulaRef>
                      </c:ext>
                    </c:extLst>
                    <c:strCache>
                      <c:ptCount val="2"/>
                      <c:pt idx="0">
                        <c:v>Porcentaje de implementación y evidencia de configuración</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TIC!$F$19</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7-0D91-482D-8A77-B30F8617D2DA}"/>
                  </c:ext>
                </c:extLst>
              </c15:ser>
            </c15:filteredBarSeries>
            <c15:filteredBarSeries>
              <c15:ser>
                <c:idx val="3"/>
                <c:order val="3"/>
                <c:spPr>
                  <a:solidFill>
                    <a:schemeClr val="accent4"/>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TIC!$C$19:$G$20</c15:sqref>
                        </c15:formulaRef>
                      </c:ext>
                    </c:extLst>
                    <c:strCache>
                      <c:ptCount val="2"/>
                      <c:pt idx="0">
                        <c:v>Porcentaje de implementación y evidencia de configuración</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TIC!$G$19</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8-0D91-482D-8A77-B30F8617D2DA}"/>
                  </c:ext>
                </c:extLst>
              </c15:ser>
            </c15:filteredBarSeries>
          </c:ext>
        </c:extLst>
      </c:barChart>
      <c:catAx>
        <c:axId val="1252427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5248640"/>
        <c:crosses val="autoZero"/>
        <c:auto val="1"/>
        <c:lblAlgn val="ctr"/>
        <c:lblOffset val="100"/>
        <c:noMultiLvlLbl val="0"/>
      </c:catAx>
      <c:valAx>
        <c:axId val="125248640"/>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5242752"/>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Migración de las VPN embajadas y consulados</a:t>
            </a:r>
          </a:p>
        </c:rich>
      </c:tx>
      <c:layout>
        <c:manualLayout>
          <c:xMode val="edge"/>
          <c:yMode val="edge"/>
          <c:x val="0.22137202795536889"/>
          <c:y val="6.2421972534332085E-2"/>
        </c:manualLayout>
      </c:layout>
      <c:overlay val="0"/>
      <c:spPr>
        <a:noFill/>
        <a:ln>
          <a:noFill/>
        </a:ln>
        <a:effectLst/>
      </c:spPr>
    </c:title>
    <c:autoTitleDeleted val="0"/>
    <c:plotArea>
      <c:layout/>
      <c:barChart>
        <c:barDir val="bar"/>
        <c:grouping val="clustered"/>
        <c:varyColors val="0"/>
        <c:ser>
          <c:idx val="5"/>
          <c:order val="0"/>
          <c:spPr>
            <a:solidFill>
              <a:schemeClr val="accent6"/>
            </a:solidFill>
            <a:ln>
              <a:noFill/>
            </a:ln>
            <a:effectLst/>
            <a:scene3d>
              <a:camera prst="orthographicFront"/>
              <a:lightRig rig="threePt" dir="t"/>
            </a:scene3d>
            <a:sp3d>
              <a:bevelT/>
            </a:sp3d>
          </c:spPr>
          <c:invertIfNegative val="0"/>
          <c:dPt>
            <c:idx val="0"/>
            <c:invertIfNegative val="0"/>
            <c:bubble3D val="0"/>
            <c:spPr>
              <a:solidFill>
                <a:srgbClr val="92D050"/>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381C-4DBF-AC1A-EC9AE6641B55}"/>
              </c:ext>
            </c:extLst>
          </c:dPt>
          <c:dPt>
            <c:idx val="1"/>
            <c:invertIfNegative val="0"/>
            <c:bubble3D val="0"/>
            <c:spPr>
              <a:solidFill>
                <a:schemeClr val="accent6">
                  <a:lumMod val="50000"/>
                </a:schemeClr>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3-381C-4DBF-AC1A-EC9AE6641B55}"/>
              </c:ext>
            </c:extLst>
          </c:dPt>
          <c:cat>
            <c:strRef>
              <c:f>TIC!$C$35:$H$36</c:f>
              <c:strCache>
                <c:ptCount val="2"/>
                <c:pt idx="0">
                  <c:v>Porcentaje implentacion</c:v>
                </c:pt>
                <c:pt idx="1">
                  <c:v>Equivalente 1/100</c:v>
                </c:pt>
              </c:strCache>
            </c:strRef>
          </c:cat>
          <c:val>
            <c:numRef>
              <c:f>TIC!$I$35:$I$36</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4-381C-4DBF-AC1A-EC9AE6641B55}"/>
            </c:ext>
          </c:extLst>
        </c:ser>
        <c:dLbls>
          <c:showLegendKey val="0"/>
          <c:showVal val="0"/>
          <c:showCatName val="0"/>
          <c:showSerName val="0"/>
          <c:showPercent val="0"/>
          <c:showBubbleSize val="0"/>
        </c:dLbls>
        <c:gapWidth val="182"/>
        <c:axId val="125874560"/>
        <c:axId val="125876096"/>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TIC!$C$35:$H$36</c15:sqref>
                        </c15:formulaRef>
                      </c:ext>
                    </c:extLst>
                    <c:strCache>
                      <c:ptCount val="2"/>
                      <c:pt idx="0">
                        <c:v>Porcentaje implentacion</c:v>
                      </c:pt>
                      <c:pt idx="1">
                        <c:v>Equivalente 1/100</c:v>
                      </c:pt>
                    </c:strCache>
                  </c:strRef>
                </c:cat>
                <c:val>
                  <c:numRef>
                    <c:extLst xmlns:c16r2="http://schemas.microsoft.com/office/drawing/2015/06/chart">
                      <c:ext uri="{02D57815-91ED-43cb-92C2-25804820EDAC}">
                        <c15:formulaRef>
                          <c15:sqref>TIC!$D$35</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5-381C-4DBF-AC1A-EC9AE6641B55}"/>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TIC!$C$35:$H$36</c15:sqref>
                        </c15:formulaRef>
                      </c:ext>
                    </c:extLst>
                    <c:strCache>
                      <c:ptCount val="2"/>
                      <c:pt idx="0">
                        <c:v>Porcentaje implentacion</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TIC!$E$35</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6-381C-4DBF-AC1A-EC9AE6641B55}"/>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TIC!$C$35:$H$36</c15:sqref>
                        </c15:formulaRef>
                      </c:ext>
                    </c:extLst>
                    <c:strCache>
                      <c:ptCount val="2"/>
                      <c:pt idx="0">
                        <c:v>Porcentaje implentacion</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TIC!$F$35</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7-381C-4DBF-AC1A-EC9AE6641B55}"/>
                  </c:ext>
                </c:extLst>
              </c15:ser>
            </c15:filteredBarSeries>
            <c15:filteredBarSeries>
              <c15:ser>
                <c:idx val="3"/>
                <c:order val="3"/>
                <c:spPr>
                  <a:solidFill>
                    <a:schemeClr val="accent4"/>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TIC!$C$35:$H$36</c15:sqref>
                        </c15:formulaRef>
                      </c:ext>
                    </c:extLst>
                    <c:strCache>
                      <c:ptCount val="2"/>
                      <c:pt idx="0">
                        <c:v>Porcentaje implentacion</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TIC!$G$35</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8-381C-4DBF-AC1A-EC9AE6641B55}"/>
                  </c:ext>
                </c:extLst>
              </c15:ser>
            </c15:filteredBarSeries>
            <c15:filteredBarSeries>
              <c15:ser>
                <c:idx val="4"/>
                <c:order val="4"/>
                <c:spPr>
                  <a:solidFill>
                    <a:schemeClr val="accent5"/>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TIC!$C$35:$H$36</c15:sqref>
                        </c15:formulaRef>
                      </c:ext>
                    </c:extLst>
                    <c:strCache>
                      <c:ptCount val="2"/>
                      <c:pt idx="0">
                        <c:v>Porcentaje implentacion</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TIC!$H$35</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9-381C-4DBF-AC1A-EC9AE6641B55}"/>
                  </c:ext>
                </c:extLst>
              </c15:ser>
            </c15:filteredBarSeries>
          </c:ext>
        </c:extLst>
      </c:barChart>
      <c:catAx>
        <c:axId val="1258745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5876096"/>
        <c:crosses val="autoZero"/>
        <c:auto val="1"/>
        <c:lblAlgn val="ctr"/>
        <c:lblOffset val="100"/>
        <c:noMultiLvlLbl val="0"/>
      </c:catAx>
      <c:valAx>
        <c:axId val="125876096"/>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5874560"/>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es-DO"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rPr>
              <a:t>Inclusión configuración Metroethemet OPP parque del este</a:t>
            </a:r>
          </a:p>
        </c:rich>
      </c:tx>
      <c:overlay val="0"/>
      <c:spPr>
        <a:noFill/>
        <a:ln>
          <a:noFill/>
        </a:ln>
        <a:effectLst/>
      </c:spPr>
    </c:title>
    <c:autoTitleDeleted val="0"/>
    <c:plotArea>
      <c:layout/>
      <c:barChart>
        <c:barDir val="bar"/>
        <c:grouping val="clustered"/>
        <c:varyColors val="0"/>
        <c:ser>
          <c:idx val="2"/>
          <c:order val="0"/>
          <c:spPr>
            <a:solidFill>
              <a:schemeClr val="accent6">
                <a:lumMod val="50000"/>
              </a:schemeClr>
            </a:solidFill>
            <a:ln>
              <a:noFill/>
            </a:ln>
            <a:effectLst/>
            <a:scene3d>
              <a:camera prst="orthographicFront"/>
              <a:lightRig rig="threePt" dir="t"/>
            </a:scene3d>
            <a:sp3d>
              <a:bevelT/>
            </a:sp3d>
          </c:spPr>
          <c:invertIfNegative val="0"/>
          <c:dPt>
            <c:idx val="0"/>
            <c:invertIfNegative val="0"/>
            <c:bubble3D val="0"/>
            <c:spPr>
              <a:solidFill>
                <a:srgbClr val="92D050"/>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E1D3-4607-9CCD-AA1A5029F664}"/>
              </c:ext>
            </c:extLst>
          </c:dPt>
          <c:dPt>
            <c:idx val="1"/>
            <c:invertIfNegative val="0"/>
            <c:bubble3D val="0"/>
            <c:extLst xmlns:c16r2="http://schemas.microsoft.com/office/drawing/2015/06/chart">
              <c:ext xmlns:c16="http://schemas.microsoft.com/office/drawing/2014/chart" uri="{C3380CC4-5D6E-409C-BE32-E72D297353CC}">
                <c16:uniqueId val="{00000003-E1D3-4607-9CCD-AA1A5029F664}"/>
              </c:ext>
            </c:extLst>
          </c:dPt>
          <c:cat>
            <c:strRef>
              <c:f>TIC!$C$51:$E$52</c:f>
              <c:strCache>
                <c:ptCount val="2"/>
                <c:pt idx="0">
                  <c:v>Porcentaje implemetación y configuración</c:v>
                </c:pt>
                <c:pt idx="1">
                  <c:v>Equivalente 1/100</c:v>
                </c:pt>
              </c:strCache>
            </c:strRef>
          </c:cat>
          <c:val>
            <c:numRef>
              <c:f>TIC!$F$51:$F$52</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4-E1D3-4607-9CCD-AA1A5029F664}"/>
            </c:ext>
          </c:extLst>
        </c:ser>
        <c:dLbls>
          <c:showLegendKey val="0"/>
          <c:showVal val="0"/>
          <c:showCatName val="0"/>
          <c:showSerName val="0"/>
          <c:showPercent val="0"/>
          <c:showBubbleSize val="0"/>
        </c:dLbls>
        <c:gapWidth val="182"/>
        <c:axId val="126468864"/>
        <c:axId val="126470400"/>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TIC!$C$51:$E$52</c15:sqref>
                        </c15:formulaRef>
                      </c:ext>
                    </c:extLst>
                    <c:strCache>
                      <c:ptCount val="2"/>
                      <c:pt idx="0">
                        <c:v>Porcentaje implemetación y configuración</c:v>
                      </c:pt>
                      <c:pt idx="1">
                        <c:v>Equivalente 1/100</c:v>
                      </c:pt>
                    </c:strCache>
                  </c:strRef>
                </c:cat>
                <c:val>
                  <c:numRef>
                    <c:extLst xmlns:c16r2="http://schemas.microsoft.com/office/drawing/2015/06/chart">
                      <c:ext uri="{02D57815-91ED-43cb-92C2-25804820EDAC}">
                        <c15:formulaRef>
                          <c15:sqref>TIC!$D$51</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5-E1D3-4607-9CCD-AA1A5029F664}"/>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TIC!$C$51:$E$52</c15:sqref>
                        </c15:formulaRef>
                      </c:ext>
                    </c:extLst>
                    <c:strCache>
                      <c:ptCount val="2"/>
                      <c:pt idx="0">
                        <c:v>Porcentaje implemetación y configuración</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TIC!$E$51</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6-E1D3-4607-9CCD-AA1A5029F664}"/>
                  </c:ext>
                </c:extLst>
              </c15:ser>
            </c15:filteredBarSeries>
          </c:ext>
        </c:extLst>
      </c:barChart>
      <c:catAx>
        <c:axId val="1264688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6470400"/>
        <c:crosses val="autoZero"/>
        <c:auto val="1"/>
        <c:lblAlgn val="ctr"/>
        <c:lblOffset val="100"/>
        <c:noMultiLvlLbl val="0"/>
      </c:catAx>
      <c:valAx>
        <c:axId val="126470400"/>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6468864"/>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400" b="1" i="0" u="none" strike="noStrike" kern="1200" spc="0" baseline="0">
                <a:solidFill>
                  <a:schemeClr val="accent1">
                    <a:lumMod val="75000"/>
                  </a:schemeClr>
                </a:solidFill>
                <a:latin typeface="Times New Roman" panose="02020603050405020304" pitchFamily="18" charset="0"/>
                <a:cs typeface="Times New Roman" panose="02020603050405020304" pitchFamily="18" charset="0"/>
              </a:rPr>
              <a:t>Renovación Office 365</a:t>
            </a:r>
          </a:p>
        </c:rich>
      </c:tx>
      <c:overlay val="0"/>
      <c:spPr>
        <a:noFill/>
        <a:ln>
          <a:noFill/>
        </a:ln>
        <a:effectLst/>
      </c:spPr>
    </c:title>
    <c:autoTitleDeleted val="0"/>
    <c:plotArea>
      <c:layout/>
      <c:barChart>
        <c:barDir val="bar"/>
        <c:grouping val="clustered"/>
        <c:varyColors val="0"/>
        <c:ser>
          <c:idx val="4"/>
          <c:order val="0"/>
          <c:spPr>
            <a:solidFill>
              <a:schemeClr val="accent5"/>
            </a:solidFill>
            <a:ln>
              <a:noFill/>
            </a:ln>
            <a:effectLst/>
            <a:scene3d>
              <a:camera prst="orthographicFront"/>
              <a:lightRig rig="threePt" dir="t"/>
            </a:scene3d>
            <a:sp3d>
              <a:bevelT/>
              <a:bevelB/>
            </a:sp3d>
          </c:spPr>
          <c:invertIfNegative val="0"/>
          <c:dPt>
            <c:idx val="0"/>
            <c:invertIfNegative val="0"/>
            <c:bubble3D val="0"/>
            <c:spPr>
              <a:solidFill>
                <a:srgbClr val="92D050"/>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1-AC12-45F6-A2A1-2E259BEB3D3E}"/>
              </c:ext>
            </c:extLst>
          </c:dPt>
          <c:dPt>
            <c:idx val="1"/>
            <c:invertIfNegative val="0"/>
            <c:bubble3D val="0"/>
            <c:spPr>
              <a:solidFill>
                <a:schemeClr val="accent6">
                  <a:lumMod val="50000"/>
                </a:schemeClr>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3-AC12-45F6-A2A1-2E259BEB3D3E}"/>
              </c:ext>
            </c:extLst>
          </c:dPt>
          <c:cat>
            <c:strRef>
              <c:f>TIC!$C$84:$C$85</c:f>
              <c:strCache>
                <c:ptCount val="2"/>
                <c:pt idx="0">
                  <c:v>Porcentaje de actualización y configuración</c:v>
                </c:pt>
                <c:pt idx="1">
                  <c:v>Equivalente 1/100</c:v>
                </c:pt>
              </c:strCache>
            </c:strRef>
          </c:cat>
          <c:val>
            <c:numRef>
              <c:f>TIC!$H$84:$H$85</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4-AC12-45F6-A2A1-2E259BEB3D3E}"/>
            </c:ext>
          </c:extLst>
        </c:ser>
        <c:dLbls>
          <c:showLegendKey val="0"/>
          <c:showVal val="0"/>
          <c:showCatName val="0"/>
          <c:showSerName val="0"/>
          <c:showPercent val="0"/>
          <c:showBubbleSize val="0"/>
        </c:dLbls>
        <c:gapWidth val="182"/>
        <c:axId val="126379904"/>
        <c:axId val="126381440"/>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TIC!$C$84:$C$85</c15:sqref>
                        </c15:formulaRef>
                      </c:ext>
                    </c:extLst>
                    <c:strCache>
                      <c:ptCount val="2"/>
                      <c:pt idx="0">
                        <c:v>Porcentaje de actualización y configuración</c:v>
                      </c:pt>
                      <c:pt idx="1">
                        <c:v>Equivalente 1/100</c:v>
                      </c:pt>
                    </c:strCache>
                  </c:strRef>
                </c:cat>
                <c:val>
                  <c:numRef>
                    <c:extLst xmlns:c16r2="http://schemas.microsoft.com/office/drawing/2015/06/chart">
                      <c:ext uri="{02D57815-91ED-43cb-92C2-25804820EDAC}">
                        <c15:formulaRef>
                          <c15:sqref>TIC!$D$84:$D$85</c15:sqref>
                        </c15:formulaRef>
                      </c:ext>
                    </c:extLst>
                    <c:numCache>
                      <c:formatCode>General</c:formatCode>
                      <c:ptCount val="2"/>
                    </c:numCache>
                  </c:numRef>
                </c:val>
                <c:extLst xmlns:c16r2="http://schemas.microsoft.com/office/drawing/2015/06/chart">
                  <c:ext xmlns:c16="http://schemas.microsoft.com/office/drawing/2014/chart" uri="{C3380CC4-5D6E-409C-BE32-E72D297353CC}">
                    <c16:uniqueId val="{00000005-AC12-45F6-A2A1-2E259BEB3D3E}"/>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TIC!$C$84:$C$85</c15:sqref>
                        </c15:formulaRef>
                      </c:ext>
                    </c:extLst>
                    <c:strCache>
                      <c:ptCount val="2"/>
                      <c:pt idx="0">
                        <c:v>Porcentaje de actualización y configuración</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TIC!$E$84:$E$85</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6-AC12-45F6-A2A1-2E259BEB3D3E}"/>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TIC!$C$84:$C$85</c15:sqref>
                        </c15:formulaRef>
                      </c:ext>
                    </c:extLst>
                    <c:strCache>
                      <c:ptCount val="2"/>
                      <c:pt idx="0">
                        <c:v>Porcentaje de actualización y configuración</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TIC!$F$84:$F$85</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7-AC12-45F6-A2A1-2E259BEB3D3E}"/>
                  </c:ext>
                </c:extLst>
              </c15:ser>
            </c15:filteredBarSeries>
            <c15:filteredBarSeries>
              <c15:ser>
                <c:idx val="3"/>
                <c:order val="3"/>
                <c:spPr>
                  <a:solidFill>
                    <a:schemeClr val="accent4"/>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TIC!$C$84:$C$85</c15:sqref>
                        </c15:formulaRef>
                      </c:ext>
                    </c:extLst>
                    <c:strCache>
                      <c:ptCount val="2"/>
                      <c:pt idx="0">
                        <c:v>Porcentaje de actualización y configuración</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TIC!$G$84:$G$85</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8-AC12-45F6-A2A1-2E259BEB3D3E}"/>
                  </c:ext>
                </c:extLst>
              </c15:ser>
            </c15:filteredBarSeries>
          </c:ext>
        </c:extLst>
      </c:barChart>
      <c:catAx>
        <c:axId val="1263799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6381440"/>
        <c:crosses val="autoZero"/>
        <c:auto val="1"/>
        <c:lblAlgn val="ctr"/>
        <c:lblOffset val="100"/>
        <c:noMultiLvlLbl val="0"/>
      </c:catAx>
      <c:valAx>
        <c:axId val="126381440"/>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637990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ES"/>
        </a:p>
      </c:txPr>
    </c:title>
    <c:autoTitleDeleted val="0"/>
    <c:plotArea>
      <c:layout/>
      <c:barChart>
        <c:barDir val="bar"/>
        <c:grouping val="clustered"/>
        <c:varyColors val="0"/>
        <c:ser>
          <c:idx val="5"/>
          <c:order val="0"/>
          <c:tx>
            <c:strRef>
              <c:f>'Emision Y Renovación'!$H$3</c:f>
              <c:strCache>
                <c:ptCount val="1"/>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bevelB/>
            </a:sp3d>
          </c:spPr>
          <c:invertIfNegative val="0"/>
          <c:dPt>
            <c:idx val="0"/>
            <c:invertIfNegative val="0"/>
            <c:bubble3D val="0"/>
            <c:spPr>
              <a:solidFill>
                <a:srgbClr val="92D050"/>
              </a:solidFill>
              <a:ln>
                <a:noFill/>
              </a:ln>
              <a:effectLst>
                <a:outerShdw blurRad="57150" dist="19050" dir="5400000" algn="ctr" rotWithShape="0">
                  <a:srgbClr val="000000">
                    <a:alpha val="63000"/>
                  </a:srgbClr>
                </a:outerShdw>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1-ABA7-4A65-B8F2-3DC6F34C9EF9}"/>
              </c:ext>
            </c:extLst>
          </c:dPt>
          <c:dPt>
            <c:idx val="1"/>
            <c:invertIfNegative val="0"/>
            <c:bubble3D val="0"/>
            <c:spPr>
              <a:solidFill>
                <a:schemeClr val="accent6">
                  <a:lumMod val="50000"/>
                </a:schemeClr>
              </a:solidFill>
              <a:ln>
                <a:noFill/>
              </a:ln>
              <a:effectLst>
                <a:outerShdw blurRad="57150" dist="19050" dir="5400000" algn="ctr" rotWithShape="0">
                  <a:srgbClr val="000000">
                    <a:alpha val="63000"/>
                  </a:srgbClr>
                </a:outerShdw>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3-ABA7-4A65-B8F2-3DC6F34C9EF9}"/>
              </c:ext>
            </c:extLst>
          </c:dPt>
          <c:cat>
            <c:strRef>
              <c:f>'Emision Y Renovación'!$A$4:$B$5</c:f>
              <c:strCache>
                <c:ptCount val="2"/>
                <c:pt idx="0">
                  <c:v>Porcentaje de satisfacción de los usuarios con la información recibida.</c:v>
                </c:pt>
                <c:pt idx="1">
                  <c:v>Equivalente 1/100</c:v>
                </c:pt>
              </c:strCache>
            </c:strRef>
          </c:cat>
          <c:val>
            <c:numRef>
              <c:f>'Emision Y Renovación'!$H$4:$H$5</c:f>
              <c:numCache>
                <c:formatCode>0%</c:formatCode>
                <c:ptCount val="2"/>
                <c:pt idx="0" formatCode="0.00%">
                  <c:v>1</c:v>
                </c:pt>
                <c:pt idx="1">
                  <c:v>1</c:v>
                </c:pt>
              </c:numCache>
            </c:numRef>
          </c:val>
          <c:extLst xmlns:c16r2="http://schemas.microsoft.com/office/drawing/2015/06/chart">
            <c:ext xmlns:c16="http://schemas.microsoft.com/office/drawing/2014/chart" uri="{C3380CC4-5D6E-409C-BE32-E72D297353CC}">
              <c16:uniqueId val="{00000004-ABA7-4A65-B8F2-3DC6F34C9EF9}"/>
            </c:ext>
          </c:extLst>
        </c:ser>
        <c:dLbls>
          <c:showLegendKey val="0"/>
          <c:showVal val="0"/>
          <c:showCatName val="0"/>
          <c:showSerName val="0"/>
          <c:showPercent val="0"/>
          <c:showBubbleSize val="0"/>
        </c:dLbls>
        <c:gapWidth val="150"/>
        <c:axId val="84634240"/>
        <c:axId val="86143360"/>
        <c:extLst xmlns:c16r2="http://schemas.microsoft.com/office/drawing/2015/06/chart">
          <c:ext xmlns:c15="http://schemas.microsoft.com/office/drawing/2012/chart" uri="{02D57815-91ED-43cb-92C2-25804820EDAC}">
            <c15:filteredBarSeries>
              <c15:ser>
                <c:idx val="0"/>
                <c:order val="0"/>
                <c:tx>
                  <c:strRef>
                    <c:extLst xmlns:c16r2="http://schemas.microsoft.com/office/drawing/2015/06/chart">
                      <c:ext uri="{02D57815-91ED-43cb-92C2-25804820EDAC}">
                        <c15:formulaRef>
                          <c15:sqref>'Emision Y Renovación'!$C$3</c15:sqref>
                        </c15:formulaRef>
                      </c:ext>
                    </c:extLst>
                    <c:strCache>
                      <c:ptCount val="1"/>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extLst xmlns:c16r2="http://schemas.microsoft.com/office/drawing/2015/06/chart">
                      <c:ext uri="{02D57815-91ED-43cb-92C2-25804820EDAC}">
                        <c15:formulaRef>
                          <c15:sqref>'Emision Y Renovación'!$A$4:$B$5</c15:sqref>
                        </c15:formulaRef>
                      </c:ext>
                    </c:extLst>
                    <c:strCache>
                      <c:ptCount val="2"/>
                      <c:pt idx="0">
                        <c:v>Porcentaje de satisfacción de los usuarios con la información recibida.</c:v>
                      </c:pt>
                      <c:pt idx="1">
                        <c:v>Equivalente 1/100</c:v>
                      </c:pt>
                    </c:strCache>
                  </c:strRef>
                </c:cat>
                <c:val>
                  <c:numRef>
                    <c:extLst xmlns:c16r2="http://schemas.microsoft.com/office/drawing/2015/06/chart">
                      <c:ext uri="{02D57815-91ED-43cb-92C2-25804820EDAC}">
                        <c15:formulaRef>
                          <c15:sqref>'Emision Y Renovación'!$C$4:$C$5</c15:sqref>
                        </c15:formulaRef>
                      </c:ext>
                    </c:extLst>
                    <c:numCache>
                      <c:formatCode>General</c:formatCode>
                      <c:ptCount val="2"/>
                    </c:numCache>
                  </c:numRef>
                </c:val>
                <c:extLst xmlns:c16r2="http://schemas.microsoft.com/office/drawing/2015/06/chart">
                  <c:ext xmlns:c16="http://schemas.microsoft.com/office/drawing/2014/chart" uri="{C3380CC4-5D6E-409C-BE32-E72D297353CC}">
                    <c16:uniqueId val="{00000005-ABA7-4A65-B8F2-3DC6F34C9EF9}"/>
                  </c:ext>
                </c:extLst>
              </c15:ser>
            </c15:filteredBarSeries>
            <c15:filteredBarSeries>
              <c15:ser>
                <c:idx val="1"/>
                <c:order val="1"/>
                <c:tx>
                  <c:strRef>
                    <c:extLst xmlns:c15="http://schemas.microsoft.com/office/drawing/2012/chart" xmlns:c16r2="http://schemas.microsoft.com/office/drawing/2015/06/chart">
                      <c:ext xmlns:c15="http://schemas.microsoft.com/office/drawing/2012/chart" uri="{02D57815-91ED-43cb-92C2-25804820EDAC}">
                        <c15:formulaRef>
                          <c15:sqref>'Emision Y Renovación'!$D$3</c15:sqref>
                        </c15:formulaRef>
                      </c:ext>
                    </c:extLst>
                    <c:strCache>
                      <c:ptCount val="1"/>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'Emision Y Renovación'!$A$4:$B$5</c15:sqref>
                        </c15:formulaRef>
                      </c:ext>
                    </c:extLst>
                    <c:strCache>
                      <c:ptCount val="2"/>
                      <c:pt idx="0">
                        <c:v>Porcentaje de satisfacción de los usuarios con la información recibida.</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'Emision Y Renovación'!$D$4:$D$5</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6-ABA7-4A65-B8F2-3DC6F34C9EF9}"/>
                  </c:ext>
                </c:extLst>
              </c15:ser>
            </c15:filteredBarSeries>
            <c15:filteredBarSeries>
              <c15:ser>
                <c:idx val="2"/>
                <c:order val="2"/>
                <c:tx>
                  <c:strRef>
                    <c:extLst xmlns:c15="http://schemas.microsoft.com/office/drawing/2012/chart" xmlns:c16r2="http://schemas.microsoft.com/office/drawing/2015/06/chart">
                      <c:ext xmlns:c15="http://schemas.microsoft.com/office/drawing/2012/chart" uri="{02D57815-91ED-43cb-92C2-25804820EDAC}">
                        <c15:formulaRef>
                          <c15:sqref>'Emision Y Renovación'!$E$3</c15:sqref>
                        </c15:formulaRef>
                      </c:ext>
                    </c:extLst>
                    <c:strCache>
                      <c:ptCount val="1"/>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'Emision Y Renovación'!$A$4:$B$5</c15:sqref>
                        </c15:formulaRef>
                      </c:ext>
                    </c:extLst>
                    <c:strCache>
                      <c:ptCount val="2"/>
                      <c:pt idx="0">
                        <c:v>Porcentaje de satisfacción de los usuarios con la información recibida.</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'Emision Y Renovación'!$E$4:$E$5</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7-ABA7-4A65-B8F2-3DC6F34C9EF9}"/>
                  </c:ext>
                </c:extLst>
              </c15:ser>
            </c15:filteredBarSeries>
            <c15:filteredBarSeries>
              <c15:ser>
                <c:idx val="3"/>
                <c:order val="3"/>
                <c:tx>
                  <c:strRef>
                    <c:extLst xmlns:c15="http://schemas.microsoft.com/office/drawing/2012/chart" xmlns:c16r2="http://schemas.microsoft.com/office/drawing/2015/06/chart">
                      <c:ext xmlns:c15="http://schemas.microsoft.com/office/drawing/2012/chart" uri="{02D57815-91ED-43cb-92C2-25804820EDAC}">
                        <c15:formulaRef>
                          <c15:sqref>'Emision Y Renovación'!$F$3</c15:sqref>
                        </c15:formulaRef>
                      </c:ext>
                    </c:extLst>
                    <c:strCache>
                      <c:ptCount val="1"/>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'Emision Y Renovación'!$A$4:$B$5</c15:sqref>
                        </c15:formulaRef>
                      </c:ext>
                    </c:extLst>
                    <c:strCache>
                      <c:ptCount val="2"/>
                      <c:pt idx="0">
                        <c:v>Porcentaje de satisfacción de los usuarios con la información recibida.</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'Emision Y Renovación'!$F$4:$F$5</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8-ABA7-4A65-B8F2-3DC6F34C9EF9}"/>
                  </c:ext>
                </c:extLst>
              </c15:ser>
            </c15:filteredBarSeries>
            <c15:filteredBarSeries>
              <c15:ser>
                <c:idx val="4"/>
                <c:order val="4"/>
                <c:tx>
                  <c:strRef>
                    <c:extLst xmlns:c15="http://schemas.microsoft.com/office/drawing/2012/chart" xmlns:c16r2="http://schemas.microsoft.com/office/drawing/2015/06/chart">
                      <c:ext xmlns:c15="http://schemas.microsoft.com/office/drawing/2012/chart" uri="{02D57815-91ED-43cb-92C2-25804820EDAC}">
                        <c15:formulaRef>
                          <c15:sqref>'Emision Y Renovación'!$G$3</c15:sqref>
                        </c15:formulaRef>
                      </c:ext>
                    </c:extLst>
                    <c:strCache>
                      <c:ptCount val="1"/>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'Emision Y Renovación'!$A$4:$B$5</c15:sqref>
                        </c15:formulaRef>
                      </c:ext>
                    </c:extLst>
                    <c:strCache>
                      <c:ptCount val="2"/>
                      <c:pt idx="0">
                        <c:v>Porcentaje de satisfacción de los usuarios con la información recibida.</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'Emision Y Renovación'!$G$4:$G$5</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9-ABA7-4A65-B8F2-3DC6F34C9EF9}"/>
                  </c:ext>
                </c:extLst>
              </c15:ser>
            </c15:filteredBarSeries>
          </c:ext>
        </c:extLst>
      </c:barChart>
      <c:catAx>
        <c:axId val="8463424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crossAx val="86143360"/>
        <c:crosses val="autoZero"/>
        <c:auto val="0"/>
        <c:lblAlgn val="ctr"/>
        <c:lblOffset val="100"/>
        <c:tickLblSkip val="1"/>
        <c:noMultiLvlLbl val="0"/>
      </c:catAx>
      <c:valAx>
        <c:axId val="86143360"/>
        <c:scaling>
          <c:orientation val="minMax"/>
          <c:max val="1"/>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a:defRPr sz="1300" b="1" i="0" u="none" strike="noStrike" kern="120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300" b="1">
                    <a:solidFill>
                      <a:schemeClr val="accent1">
                        <a:lumMod val="75000"/>
                      </a:schemeClr>
                    </a:solidFill>
                    <a:latin typeface="Times New Roman" panose="02020603050405020304" pitchFamily="18" charset="0"/>
                    <a:cs typeface="Times New Roman" panose="02020603050405020304" pitchFamily="18" charset="0"/>
                  </a:rPr>
                  <a:t>Información</a:t>
                </a:r>
                <a:r>
                  <a:rPr lang="es-DO" sz="1300" b="1" baseline="0">
                    <a:solidFill>
                      <a:schemeClr val="accent1">
                        <a:lumMod val="75000"/>
                      </a:schemeClr>
                    </a:solidFill>
                    <a:latin typeface="Times New Roman" panose="02020603050405020304" pitchFamily="18" charset="0"/>
                    <a:cs typeface="Times New Roman" panose="02020603050405020304" pitchFamily="18" charset="0"/>
                  </a:rPr>
                  <a:t> y orientación efectiva al ciudadano </a:t>
                </a:r>
                <a:endParaRPr lang="es-DO" sz="1300"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27993181849972726"/>
              <c:y val="6.3772858204356658E-2"/>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84634240"/>
        <c:crossesAt val="1"/>
        <c:crossBetween val="midCat"/>
        <c:minorUnit val="1.0000000000000002E-2"/>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solidFill>
          <a:schemeClr val="accent5">
            <a:lumMod val="40000"/>
            <a:lumOff val="60000"/>
          </a:schemeClr>
        </a:soli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rPr>
              <a:t>Visualización servidores Sede Central y OPP</a:t>
            </a:r>
          </a:p>
        </c:rich>
      </c:tx>
      <c:overlay val="0"/>
      <c:spPr>
        <a:noFill/>
        <a:ln>
          <a:noFill/>
        </a:ln>
        <a:effectLst/>
      </c:spPr>
    </c:title>
    <c:autoTitleDeleted val="0"/>
    <c:plotArea>
      <c:layout/>
      <c:barChart>
        <c:barDir val="bar"/>
        <c:grouping val="clustered"/>
        <c:varyColors val="0"/>
        <c:ser>
          <c:idx val="2"/>
          <c:order val="0"/>
          <c:spPr>
            <a:solidFill>
              <a:schemeClr val="accent6">
                <a:lumMod val="50000"/>
              </a:schemeClr>
            </a:solidFill>
            <a:ln>
              <a:noFill/>
            </a:ln>
            <a:effectLst/>
            <a:scene3d>
              <a:camera prst="orthographicFront"/>
              <a:lightRig rig="threePt" dir="t"/>
            </a:scene3d>
            <a:sp3d>
              <a:bevelT/>
              <a:bevelB/>
            </a:sp3d>
          </c:spPr>
          <c:invertIfNegative val="0"/>
          <c:dPt>
            <c:idx val="0"/>
            <c:invertIfNegative val="0"/>
            <c:bubble3D val="0"/>
            <c:spPr>
              <a:solidFill>
                <a:srgbClr val="FFFF00"/>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1-1833-4CDA-8B1A-223ED249F02B}"/>
              </c:ext>
            </c:extLst>
          </c:dPt>
          <c:cat>
            <c:strRef>
              <c:f>TIC!$C$68:$C$69</c:f>
              <c:strCache>
                <c:ptCount val="2"/>
                <c:pt idx="0">
                  <c:v>Porcentaje implementación y configuración</c:v>
                </c:pt>
                <c:pt idx="1">
                  <c:v>Equivalente 1/100</c:v>
                </c:pt>
              </c:strCache>
            </c:strRef>
          </c:cat>
          <c:val>
            <c:numRef>
              <c:f>TIC!$F$68:$F$69</c:f>
              <c:numCache>
                <c:formatCode>0%</c:formatCode>
                <c:ptCount val="2"/>
                <c:pt idx="0">
                  <c:v>0.75</c:v>
                </c:pt>
                <c:pt idx="1">
                  <c:v>1</c:v>
                </c:pt>
              </c:numCache>
            </c:numRef>
          </c:val>
          <c:extLst xmlns:c16r2="http://schemas.microsoft.com/office/drawing/2015/06/chart">
            <c:ext xmlns:c16="http://schemas.microsoft.com/office/drawing/2014/chart" uri="{C3380CC4-5D6E-409C-BE32-E72D297353CC}">
              <c16:uniqueId val="{00000002-1833-4CDA-8B1A-223ED249F02B}"/>
            </c:ext>
          </c:extLst>
        </c:ser>
        <c:dLbls>
          <c:showLegendKey val="0"/>
          <c:showVal val="0"/>
          <c:showCatName val="0"/>
          <c:showSerName val="0"/>
          <c:showPercent val="0"/>
          <c:showBubbleSize val="0"/>
        </c:dLbls>
        <c:gapWidth val="182"/>
        <c:axId val="127928576"/>
        <c:axId val="127930368"/>
        <c:extLst xmlns:c16r2="http://schemas.microsoft.com/office/drawing/2015/06/chart">
          <c:ext xmlns:c15="http://schemas.microsoft.com/office/drawing/2012/chart" uri="{02D57815-91ED-43cb-92C2-25804820EDAC}">
            <c15:filteredBarSeries>
              <c15:ser>
                <c:idx val="0"/>
                <c:order val="0"/>
                <c:spPr>
                  <a:solidFill>
                    <a:schemeClr val="accent2"/>
                  </a:solidFill>
                  <a:ln>
                    <a:noFill/>
                  </a:ln>
                  <a:effectLst/>
                </c:spPr>
                <c:invertIfNegative val="0"/>
                <c:cat>
                  <c:strRef>
                    <c:extLst xmlns:c16r2="http://schemas.microsoft.com/office/drawing/2015/06/chart">
                      <c:ext uri="{02D57815-91ED-43cb-92C2-25804820EDAC}">
                        <c15:formulaRef>
                          <c15:sqref>TIC!$C$68:$C$69</c15:sqref>
                        </c15:formulaRef>
                      </c:ext>
                    </c:extLst>
                    <c:strCache>
                      <c:ptCount val="2"/>
                      <c:pt idx="0">
                        <c:v>Porcentaje implementación y configuración</c:v>
                      </c:pt>
                      <c:pt idx="1">
                        <c:v>Equivalente 1/100</c:v>
                      </c:pt>
                    </c:strCache>
                  </c:strRef>
                </c:cat>
                <c:val>
                  <c:numRef>
                    <c:extLst xmlns:c16r2="http://schemas.microsoft.com/office/drawing/2015/06/chart">
                      <c:ext uri="{02D57815-91ED-43cb-92C2-25804820EDAC}">
                        <c15:formulaRef>
                          <c15:sqref>TIC!$D$68:$D$69</c15:sqref>
                        </c15:formulaRef>
                      </c:ext>
                    </c:extLst>
                    <c:numCache>
                      <c:formatCode>General</c:formatCode>
                      <c:ptCount val="2"/>
                    </c:numCache>
                  </c:numRef>
                </c:val>
                <c:extLst xmlns:c16r2="http://schemas.microsoft.com/office/drawing/2015/06/chart">
                  <c:ext xmlns:c16="http://schemas.microsoft.com/office/drawing/2014/chart" uri="{C3380CC4-5D6E-409C-BE32-E72D297353CC}">
                    <c16:uniqueId val="{00000003-1833-4CDA-8B1A-223ED249F02B}"/>
                  </c:ext>
                </c:extLst>
              </c15:ser>
            </c15:filteredBarSeries>
            <c15:filteredBarSeries>
              <c15:ser>
                <c:idx val="1"/>
                <c:order val="1"/>
                <c:spPr>
                  <a:solidFill>
                    <a:schemeClr val="accent4"/>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TIC!$C$68:$C$69</c15:sqref>
                        </c15:formulaRef>
                      </c:ext>
                    </c:extLst>
                    <c:strCache>
                      <c:ptCount val="2"/>
                      <c:pt idx="0">
                        <c:v>Porcentaje implementación y configuración</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TIC!$E$68:$E$69</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4-1833-4CDA-8B1A-223ED249F02B}"/>
                  </c:ext>
                </c:extLst>
              </c15:ser>
            </c15:filteredBarSeries>
          </c:ext>
        </c:extLst>
      </c:barChart>
      <c:catAx>
        <c:axId val="1279285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7930368"/>
        <c:crosses val="autoZero"/>
        <c:auto val="1"/>
        <c:lblAlgn val="ctr"/>
        <c:lblOffset val="100"/>
        <c:noMultiLvlLbl val="0"/>
      </c:catAx>
      <c:valAx>
        <c:axId val="127930368"/>
        <c:scaling>
          <c:orientation val="minMax"/>
          <c:max val="0.99990000000000001"/>
          <c:min val="-9.9999999999989068E-5"/>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7928576"/>
        <c:crosses val="autoZero"/>
        <c:crossBetween val="between"/>
        <c:majorUnit val="0.1"/>
        <c:minorUnit val="2.0000000000000004E-2"/>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rPr>
              <a:t>Implementacion administrativo de eventos de seguridad TIC</a:t>
            </a:r>
          </a:p>
        </c:rich>
      </c:tx>
      <c:overlay val="0"/>
      <c:spPr>
        <a:noFill/>
        <a:ln>
          <a:noFill/>
        </a:ln>
        <a:effectLst/>
      </c:spPr>
    </c:title>
    <c:autoTitleDeleted val="0"/>
    <c:plotArea>
      <c:layout/>
      <c:barChart>
        <c:barDir val="bar"/>
        <c:grouping val="clustered"/>
        <c:varyColors val="0"/>
        <c:ser>
          <c:idx val="4"/>
          <c:order val="0"/>
          <c:spPr>
            <a:solidFill>
              <a:schemeClr val="accent5"/>
            </a:solidFill>
            <a:ln>
              <a:noFill/>
            </a:ln>
            <a:effectLst/>
            <a:scene3d>
              <a:camera prst="orthographicFront"/>
              <a:lightRig rig="threePt" dir="t"/>
            </a:scene3d>
            <a:sp3d>
              <a:bevelT/>
              <a:bevelB/>
            </a:sp3d>
          </c:spPr>
          <c:invertIfNegative val="0"/>
          <c:dPt>
            <c:idx val="0"/>
            <c:invertIfNegative val="0"/>
            <c:bubble3D val="0"/>
            <c:spPr>
              <a:solidFill>
                <a:srgbClr val="FF0000"/>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1-2E4D-4C6C-BCCB-5CF2FF4AFDA4}"/>
              </c:ext>
            </c:extLst>
          </c:dPt>
          <c:dPt>
            <c:idx val="1"/>
            <c:invertIfNegative val="0"/>
            <c:bubble3D val="0"/>
            <c:spPr>
              <a:solidFill>
                <a:schemeClr val="accent6">
                  <a:lumMod val="50000"/>
                </a:schemeClr>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3-2E4D-4C6C-BCCB-5CF2FF4AFDA4}"/>
              </c:ext>
            </c:extLst>
          </c:dPt>
          <c:cat>
            <c:strRef>
              <c:f>TIC!$C$104:$C$105</c:f>
              <c:strCache>
                <c:ptCount val="2"/>
                <c:pt idx="0">
                  <c:v>Porcentajes de implentación y evidencia de configuración </c:v>
                </c:pt>
                <c:pt idx="1">
                  <c:v>Equivalente 1/100</c:v>
                </c:pt>
              </c:strCache>
            </c:strRef>
          </c:cat>
          <c:val>
            <c:numRef>
              <c:f>TIC!$H$104:$H$105</c:f>
              <c:numCache>
                <c:formatCode>0%</c:formatCode>
                <c:ptCount val="2"/>
                <c:pt idx="0">
                  <c:v>0.6</c:v>
                </c:pt>
                <c:pt idx="1">
                  <c:v>1</c:v>
                </c:pt>
              </c:numCache>
            </c:numRef>
          </c:val>
          <c:extLst xmlns:c16r2="http://schemas.microsoft.com/office/drawing/2015/06/chart">
            <c:ext xmlns:c16="http://schemas.microsoft.com/office/drawing/2014/chart" uri="{C3380CC4-5D6E-409C-BE32-E72D297353CC}">
              <c16:uniqueId val="{00000004-2E4D-4C6C-BCCB-5CF2FF4AFDA4}"/>
            </c:ext>
          </c:extLst>
        </c:ser>
        <c:dLbls>
          <c:showLegendKey val="0"/>
          <c:showVal val="0"/>
          <c:showCatName val="0"/>
          <c:showSerName val="0"/>
          <c:showPercent val="0"/>
          <c:showBubbleSize val="0"/>
        </c:dLbls>
        <c:gapWidth val="182"/>
        <c:axId val="128085376"/>
        <c:axId val="128095360"/>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TIC!$C$104:$C$105</c15:sqref>
                        </c15:formulaRef>
                      </c:ext>
                    </c:extLst>
                    <c:strCache>
                      <c:ptCount val="2"/>
                      <c:pt idx="0">
                        <c:v>Porcentajes de implentación y evidencia de configuración </c:v>
                      </c:pt>
                      <c:pt idx="1">
                        <c:v>Equivalente 1/100</c:v>
                      </c:pt>
                    </c:strCache>
                  </c:strRef>
                </c:cat>
                <c:val>
                  <c:numRef>
                    <c:extLst xmlns:c16r2="http://schemas.microsoft.com/office/drawing/2015/06/chart">
                      <c:ext uri="{02D57815-91ED-43cb-92C2-25804820EDAC}">
                        <c15:formulaRef>
                          <c15:sqref>TIC!$D$104:$D$105</c15:sqref>
                        </c15:formulaRef>
                      </c:ext>
                    </c:extLst>
                    <c:numCache>
                      <c:formatCode>General</c:formatCode>
                      <c:ptCount val="2"/>
                    </c:numCache>
                  </c:numRef>
                </c:val>
                <c:extLst xmlns:c16r2="http://schemas.microsoft.com/office/drawing/2015/06/chart">
                  <c:ext xmlns:c16="http://schemas.microsoft.com/office/drawing/2014/chart" uri="{C3380CC4-5D6E-409C-BE32-E72D297353CC}">
                    <c16:uniqueId val="{00000005-2E4D-4C6C-BCCB-5CF2FF4AFDA4}"/>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TIC!$C$104:$C$105</c15:sqref>
                        </c15:formulaRef>
                      </c:ext>
                    </c:extLst>
                    <c:strCache>
                      <c:ptCount val="2"/>
                      <c:pt idx="0">
                        <c:v>Porcentajes de implentación y evidencia de configuración </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TIC!$E$104:$E$105</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6-2E4D-4C6C-BCCB-5CF2FF4AFDA4}"/>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TIC!$C$104:$C$105</c15:sqref>
                        </c15:formulaRef>
                      </c:ext>
                    </c:extLst>
                    <c:strCache>
                      <c:ptCount val="2"/>
                      <c:pt idx="0">
                        <c:v>Porcentajes de implentación y evidencia de configuración </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TIC!$F$104:$F$105</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7-2E4D-4C6C-BCCB-5CF2FF4AFDA4}"/>
                  </c:ext>
                </c:extLst>
              </c15:ser>
            </c15:filteredBarSeries>
            <c15:filteredBarSeries>
              <c15:ser>
                <c:idx val="3"/>
                <c:order val="3"/>
                <c:spPr>
                  <a:solidFill>
                    <a:schemeClr val="accent4"/>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TIC!$C$104:$C$105</c15:sqref>
                        </c15:formulaRef>
                      </c:ext>
                    </c:extLst>
                    <c:strCache>
                      <c:ptCount val="2"/>
                      <c:pt idx="0">
                        <c:v>Porcentajes de implentación y evidencia de configuración </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TIC!$G$104:$G$105</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8-2E4D-4C6C-BCCB-5CF2FF4AFDA4}"/>
                  </c:ext>
                </c:extLst>
              </c15:ser>
            </c15:filteredBarSeries>
          </c:ext>
        </c:extLst>
      </c:barChart>
      <c:catAx>
        <c:axId val="1280853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8095360"/>
        <c:crosses val="autoZero"/>
        <c:auto val="1"/>
        <c:lblAlgn val="ctr"/>
        <c:lblOffset val="100"/>
        <c:noMultiLvlLbl val="0"/>
      </c:catAx>
      <c:valAx>
        <c:axId val="128095360"/>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808537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rPr>
              <a:t>Adquición Sofware Antivirus</a:t>
            </a:r>
          </a:p>
        </c:rich>
      </c:tx>
      <c:overlay val="0"/>
      <c:spPr>
        <a:noFill/>
        <a:ln>
          <a:noFill/>
        </a:ln>
        <a:effectLst/>
      </c:spPr>
    </c:title>
    <c:autoTitleDeleted val="0"/>
    <c:plotArea>
      <c:layout/>
      <c:barChart>
        <c:barDir val="bar"/>
        <c:grouping val="clustered"/>
        <c:varyColors val="0"/>
        <c:ser>
          <c:idx val="3"/>
          <c:order val="0"/>
          <c:spPr>
            <a:solidFill>
              <a:srgbClr val="FF0000"/>
            </a:solidFill>
            <a:ln>
              <a:noFill/>
            </a:ln>
            <a:effectLst/>
            <a:scene3d>
              <a:camera prst="orthographicFront"/>
              <a:lightRig rig="threePt" dir="t"/>
            </a:scene3d>
            <a:sp3d>
              <a:bevelT/>
              <a:bevelB/>
            </a:sp3d>
          </c:spPr>
          <c:invertIfNegative val="0"/>
          <c:dPt>
            <c:idx val="0"/>
            <c:invertIfNegative val="0"/>
            <c:bubble3D val="0"/>
            <c:spPr>
              <a:solidFill>
                <a:srgbClr val="FFFF00"/>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2-CCA8-40D5-AFD7-617B7FA49C86}"/>
              </c:ext>
            </c:extLst>
          </c:dPt>
          <c:dPt>
            <c:idx val="1"/>
            <c:invertIfNegative val="0"/>
            <c:bubble3D val="0"/>
            <c:spPr>
              <a:solidFill>
                <a:schemeClr val="accent6">
                  <a:lumMod val="50000"/>
                </a:schemeClr>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1-5F7A-437E-BFE7-107F1DA0299B}"/>
              </c:ext>
            </c:extLst>
          </c:dPt>
          <c:cat>
            <c:strRef>
              <c:f>TIC!$C$120:$E$121</c:f>
              <c:strCache>
                <c:ptCount val="2"/>
                <c:pt idx="0">
                  <c:v>Porcentaje de implementación</c:v>
                </c:pt>
                <c:pt idx="1">
                  <c:v>Equivalente 1/100</c:v>
                </c:pt>
              </c:strCache>
            </c:strRef>
          </c:cat>
          <c:val>
            <c:numRef>
              <c:f>TIC!$G$120:$G$121</c:f>
              <c:numCache>
                <c:formatCode>0%</c:formatCode>
                <c:ptCount val="2"/>
                <c:pt idx="0">
                  <c:v>0.75</c:v>
                </c:pt>
                <c:pt idx="1">
                  <c:v>1</c:v>
                </c:pt>
              </c:numCache>
            </c:numRef>
          </c:val>
          <c:extLst xmlns:c16r2="http://schemas.microsoft.com/office/drawing/2015/06/chart">
            <c:ext xmlns:c16="http://schemas.microsoft.com/office/drawing/2014/chart" uri="{C3380CC4-5D6E-409C-BE32-E72D297353CC}">
              <c16:uniqueId val="{00000002-5F7A-437E-BFE7-107F1DA0299B}"/>
            </c:ext>
          </c:extLst>
        </c:ser>
        <c:dLbls>
          <c:showLegendKey val="0"/>
          <c:showVal val="0"/>
          <c:showCatName val="0"/>
          <c:showSerName val="0"/>
          <c:showPercent val="0"/>
          <c:showBubbleSize val="0"/>
        </c:dLbls>
        <c:gapWidth val="182"/>
        <c:axId val="128017152"/>
        <c:axId val="128018688"/>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TIC!$C$120:$E$121</c15:sqref>
                        </c15:formulaRef>
                      </c:ext>
                    </c:extLst>
                    <c:strCache>
                      <c:ptCount val="2"/>
                      <c:pt idx="0">
                        <c:v>Porcentaje de implementación</c:v>
                      </c:pt>
                      <c:pt idx="1">
                        <c:v>Equivalente 1/100</c:v>
                      </c:pt>
                    </c:strCache>
                  </c:strRef>
                </c:cat>
                <c:val>
                  <c:numRef>
                    <c:extLst xmlns:c16r2="http://schemas.microsoft.com/office/drawing/2015/06/chart">
                      <c:ext uri="{02D57815-91ED-43cb-92C2-25804820EDAC}">
                        <c15:formulaRef>
                          <c15:sqref>TIC!$D$120</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3-5F7A-437E-BFE7-107F1DA0299B}"/>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TIC!$C$120:$E$121</c15:sqref>
                        </c15:formulaRef>
                      </c:ext>
                    </c:extLst>
                    <c:strCache>
                      <c:ptCount val="2"/>
                      <c:pt idx="0">
                        <c:v>Porcentaje de implementación</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TIC!$E$120</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4-5F7A-437E-BFE7-107F1DA0299B}"/>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TIC!$C$120:$E$121</c15:sqref>
                        </c15:formulaRef>
                      </c:ext>
                    </c:extLst>
                    <c:strCache>
                      <c:ptCount val="2"/>
                      <c:pt idx="0">
                        <c:v>Porcentaje de implementación</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TIC!$F$120</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5-5F7A-437E-BFE7-107F1DA0299B}"/>
                  </c:ext>
                </c:extLst>
              </c15:ser>
            </c15:filteredBarSeries>
          </c:ext>
        </c:extLst>
      </c:barChart>
      <c:catAx>
        <c:axId val="1280171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8018688"/>
        <c:crosses val="autoZero"/>
        <c:auto val="1"/>
        <c:lblAlgn val="ctr"/>
        <c:lblOffset val="100"/>
        <c:noMultiLvlLbl val="0"/>
      </c:catAx>
      <c:valAx>
        <c:axId val="128018688"/>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801715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rPr>
              <a:t>Recertificación Nortic</a:t>
            </a:r>
          </a:p>
        </c:rich>
      </c:tx>
      <c:overlay val="0"/>
      <c:spPr>
        <a:noFill/>
        <a:ln>
          <a:noFill/>
        </a:ln>
        <a:effectLst/>
      </c:spPr>
    </c:title>
    <c:autoTitleDeleted val="0"/>
    <c:plotArea>
      <c:layout/>
      <c:barChart>
        <c:barDir val="bar"/>
        <c:grouping val="clustered"/>
        <c:varyColors val="0"/>
        <c:ser>
          <c:idx val="3"/>
          <c:order val="0"/>
          <c:spPr>
            <a:solidFill>
              <a:schemeClr val="accent4"/>
            </a:solidFill>
            <a:ln>
              <a:noFill/>
            </a:ln>
            <a:effectLst/>
            <a:scene3d>
              <a:camera prst="orthographicFront"/>
              <a:lightRig rig="threePt" dir="t"/>
            </a:scene3d>
            <a:sp3d>
              <a:bevelT/>
              <a:bevelB/>
            </a:sp3d>
          </c:spPr>
          <c:invertIfNegative val="0"/>
          <c:dPt>
            <c:idx val="0"/>
            <c:invertIfNegative val="0"/>
            <c:bubble3D val="0"/>
            <c:spPr>
              <a:solidFill>
                <a:srgbClr val="92D050"/>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1-B5AB-4B06-B589-0945CBA9F959}"/>
              </c:ext>
            </c:extLst>
          </c:dPt>
          <c:dPt>
            <c:idx val="1"/>
            <c:invertIfNegative val="0"/>
            <c:bubble3D val="0"/>
            <c:spPr>
              <a:solidFill>
                <a:schemeClr val="accent6">
                  <a:lumMod val="50000"/>
                </a:schemeClr>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3-B5AB-4B06-B589-0945CBA9F959}"/>
              </c:ext>
            </c:extLst>
          </c:dPt>
          <c:cat>
            <c:strRef>
              <c:f>TIC!$C$120:$E$121</c:f>
              <c:strCache>
                <c:ptCount val="2"/>
                <c:pt idx="0">
                  <c:v>Porcentaje de implementación</c:v>
                </c:pt>
                <c:pt idx="1">
                  <c:v>Equivalente 1/100</c:v>
                </c:pt>
              </c:strCache>
            </c:strRef>
          </c:cat>
          <c:val>
            <c:numRef>
              <c:f>TIC!$G$120:$G$121</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4-B5AB-4B06-B589-0945CBA9F959}"/>
            </c:ext>
          </c:extLst>
        </c:ser>
        <c:dLbls>
          <c:showLegendKey val="0"/>
          <c:showVal val="0"/>
          <c:showCatName val="0"/>
          <c:showSerName val="0"/>
          <c:showPercent val="0"/>
          <c:showBubbleSize val="0"/>
        </c:dLbls>
        <c:gapWidth val="182"/>
        <c:axId val="127997824"/>
        <c:axId val="127999360"/>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TIC!$C$120:$E$121</c15:sqref>
                        </c15:formulaRef>
                      </c:ext>
                    </c:extLst>
                    <c:strCache>
                      <c:ptCount val="2"/>
                      <c:pt idx="0">
                        <c:v>Porcentaje de implementación</c:v>
                      </c:pt>
                      <c:pt idx="1">
                        <c:v>Equivalente 1/100</c:v>
                      </c:pt>
                    </c:strCache>
                  </c:strRef>
                </c:cat>
                <c:val>
                  <c:numRef>
                    <c:extLst xmlns:c16r2="http://schemas.microsoft.com/office/drawing/2015/06/chart">
                      <c:ext uri="{02D57815-91ED-43cb-92C2-25804820EDAC}">
                        <c15:formulaRef>
                          <c15:sqref>TIC!$D$120</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5-B5AB-4B06-B589-0945CBA9F959}"/>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TIC!$C$120:$E$121</c15:sqref>
                        </c15:formulaRef>
                      </c:ext>
                    </c:extLst>
                    <c:strCache>
                      <c:ptCount val="2"/>
                      <c:pt idx="0">
                        <c:v>Porcentaje de implementación</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TIC!$E$120</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6-B5AB-4B06-B589-0945CBA9F959}"/>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TIC!$C$120:$E$121</c15:sqref>
                        </c15:formulaRef>
                      </c:ext>
                    </c:extLst>
                    <c:strCache>
                      <c:ptCount val="2"/>
                      <c:pt idx="0">
                        <c:v>Porcentaje de implementación</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TIC!$F$120</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7-B5AB-4B06-B589-0945CBA9F959}"/>
                  </c:ext>
                </c:extLst>
              </c15:ser>
            </c15:filteredBarSeries>
          </c:ext>
        </c:extLst>
      </c:barChart>
      <c:catAx>
        <c:axId val="1279978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7999360"/>
        <c:crosses val="autoZero"/>
        <c:auto val="1"/>
        <c:lblAlgn val="ctr"/>
        <c:lblOffset val="100"/>
        <c:noMultiLvlLbl val="0"/>
      </c:catAx>
      <c:valAx>
        <c:axId val="127999360"/>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799782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endParaRPr>
          </a:p>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rPr>
              <a:t>Operativo de mantenimiento preventivo y correctivos PC e impresora</a:t>
            </a:r>
          </a:p>
        </c:rich>
      </c:tx>
      <c:overlay val="0"/>
      <c:spPr>
        <a:noFill/>
        <a:ln>
          <a:noFill/>
        </a:ln>
        <a:effectLst/>
      </c:spPr>
    </c:title>
    <c:autoTitleDeleted val="0"/>
    <c:plotArea>
      <c:layout/>
      <c:barChart>
        <c:barDir val="bar"/>
        <c:grouping val="clustered"/>
        <c:varyColors val="0"/>
        <c:ser>
          <c:idx val="3"/>
          <c:order val="0"/>
          <c:spPr>
            <a:solidFill>
              <a:schemeClr val="accent4"/>
            </a:solidFill>
            <a:ln>
              <a:noFill/>
            </a:ln>
            <a:effectLst/>
            <a:scene3d>
              <a:camera prst="orthographicFront"/>
              <a:lightRig rig="threePt" dir="t"/>
            </a:scene3d>
            <a:sp3d>
              <a:bevelT/>
              <a:bevelB/>
            </a:sp3d>
          </c:spPr>
          <c:invertIfNegative val="0"/>
          <c:dPt>
            <c:idx val="0"/>
            <c:invertIfNegative val="0"/>
            <c:bubble3D val="0"/>
            <c:spPr>
              <a:solidFill>
                <a:srgbClr val="92D050"/>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1-78F2-42F9-B4EA-C7BCCAF875D6}"/>
              </c:ext>
            </c:extLst>
          </c:dPt>
          <c:dPt>
            <c:idx val="1"/>
            <c:invertIfNegative val="0"/>
            <c:bubble3D val="0"/>
            <c:spPr>
              <a:solidFill>
                <a:schemeClr val="accent6">
                  <a:lumMod val="50000"/>
                </a:schemeClr>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3-78F2-42F9-B4EA-C7BCCAF875D6}"/>
              </c:ext>
            </c:extLst>
          </c:dPt>
          <c:cat>
            <c:strRef>
              <c:f>TIC!$C$120:$E$121</c:f>
              <c:strCache>
                <c:ptCount val="2"/>
                <c:pt idx="0">
                  <c:v>Porcentaje de implementación</c:v>
                </c:pt>
                <c:pt idx="1">
                  <c:v>Equivalente 1/100</c:v>
                </c:pt>
              </c:strCache>
            </c:strRef>
          </c:cat>
          <c:val>
            <c:numRef>
              <c:f>TIC!$G$120:$G$121</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4-78F2-42F9-B4EA-C7BCCAF875D6}"/>
            </c:ext>
          </c:extLst>
        </c:ser>
        <c:dLbls>
          <c:showLegendKey val="0"/>
          <c:showVal val="0"/>
          <c:showCatName val="0"/>
          <c:showSerName val="0"/>
          <c:showPercent val="0"/>
          <c:showBubbleSize val="0"/>
        </c:dLbls>
        <c:gapWidth val="182"/>
        <c:axId val="129678336"/>
        <c:axId val="129684224"/>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TIC!$C$120:$E$121</c15:sqref>
                        </c15:formulaRef>
                      </c:ext>
                    </c:extLst>
                    <c:strCache>
                      <c:ptCount val="2"/>
                      <c:pt idx="0">
                        <c:v>Porcentaje de implementación</c:v>
                      </c:pt>
                      <c:pt idx="1">
                        <c:v>Equivalente 1/100</c:v>
                      </c:pt>
                    </c:strCache>
                  </c:strRef>
                </c:cat>
                <c:val>
                  <c:numRef>
                    <c:extLst xmlns:c16r2="http://schemas.microsoft.com/office/drawing/2015/06/chart">
                      <c:ext uri="{02D57815-91ED-43cb-92C2-25804820EDAC}">
                        <c15:formulaRef>
                          <c15:sqref>TIC!$D$120</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5-78F2-42F9-B4EA-C7BCCAF875D6}"/>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TIC!$C$120:$E$121</c15:sqref>
                        </c15:formulaRef>
                      </c:ext>
                    </c:extLst>
                    <c:strCache>
                      <c:ptCount val="2"/>
                      <c:pt idx="0">
                        <c:v>Porcentaje de implementación</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TIC!$E$120</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6-78F2-42F9-B4EA-C7BCCAF875D6}"/>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TIC!$C$120:$E$121</c15:sqref>
                        </c15:formulaRef>
                      </c:ext>
                    </c:extLst>
                    <c:strCache>
                      <c:ptCount val="2"/>
                      <c:pt idx="0">
                        <c:v>Porcentaje de implementación</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TIC!$F$120</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7-78F2-42F9-B4EA-C7BCCAF875D6}"/>
                  </c:ext>
                </c:extLst>
              </c15:ser>
            </c15:filteredBarSeries>
          </c:ext>
        </c:extLst>
      </c:barChart>
      <c:catAx>
        <c:axId val="1296783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9684224"/>
        <c:crosses val="autoZero"/>
        <c:auto val="1"/>
        <c:lblAlgn val="ctr"/>
        <c:lblOffset val="100"/>
        <c:noMultiLvlLbl val="0"/>
      </c:catAx>
      <c:valAx>
        <c:axId val="129684224"/>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96783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rPr>
              <a:t>Migración e implemtación pasaportes electronic</a:t>
            </a:r>
          </a:p>
        </c:rich>
      </c:tx>
      <c:overlay val="0"/>
      <c:spPr>
        <a:noFill/>
        <a:ln>
          <a:noFill/>
        </a:ln>
        <a:effectLst/>
      </c:spPr>
    </c:title>
    <c:autoTitleDeleted val="0"/>
    <c:plotArea>
      <c:layout/>
      <c:barChart>
        <c:barDir val="bar"/>
        <c:grouping val="clustered"/>
        <c:varyColors val="0"/>
        <c:ser>
          <c:idx val="3"/>
          <c:order val="0"/>
          <c:spPr>
            <a:solidFill>
              <a:schemeClr val="accent4"/>
            </a:solidFill>
            <a:ln>
              <a:noFill/>
            </a:ln>
            <a:effectLst/>
            <a:scene3d>
              <a:camera prst="orthographicFront"/>
              <a:lightRig rig="threePt" dir="t"/>
            </a:scene3d>
            <a:sp3d>
              <a:bevelT/>
              <a:bevelB/>
            </a:sp3d>
          </c:spPr>
          <c:invertIfNegative val="0"/>
          <c:dPt>
            <c:idx val="0"/>
            <c:invertIfNegative val="0"/>
            <c:bubble3D val="0"/>
            <c:spPr>
              <a:solidFill>
                <a:srgbClr val="FF0000"/>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1-0E33-4874-9CB8-7A7909FAD06D}"/>
              </c:ext>
            </c:extLst>
          </c:dPt>
          <c:dPt>
            <c:idx val="1"/>
            <c:invertIfNegative val="0"/>
            <c:bubble3D val="0"/>
            <c:spPr>
              <a:solidFill>
                <a:schemeClr val="accent6">
                  <a:lumMod val="50000"/>
                </a:schemeClr>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3-0E33-4874-9CB8-7A7909FAD06D}"/>
              </c:ext>
            </c:extLst>
          </c:dPt>
          <c:cat>
            <c:strRef>
              <c:f>TIC!$C$120:$E$121</c:f>
              <c:strCache>
                <c:ptCount val="2"/>
                <c:pt idx="0">
                  <c:v>Porcentaje de implementación</c:v>
                </c:pt>
                <c:pt idx="1">
                  <c:v>Equivalente 1/100</c:v>
                </c:pt>
              </c:strCache>
            </c:strRef>
          </c:cat>
          <c:val>
            <c:numRef>
              <c:f>TIC!$G$120:$G$121</c:f>
              <c:numCache>
                <c:formatCode>0%</c:formatCode>
                <c:ptCount val="2"/>
                <c:pt idx="0">
                  <c:v>0</c:v>
                </c:pt>
                <c:pt idx="1">
                  <c:v>1</c:v>
                </c:pt>
              </c:numCache>
            </c:numRef>
          </c:val>
          <c:extLst xmlns:c16r2="http://schemas.microsoft.com/office/drawing/2015/06/chart">
            <c:ext xmlns:c16="http://schemas.microsoft.com/office/drawing/2014/chart" uri="{C3380CC4-5D6E-409C-BE32-E72D297353CC}">
              <c16:uniqueId val="{00000004-0E33-4874-9CB8-7A7909FAD06D}"/>
            </c:ext>
          </c:extLst>
        </c:ser>
        <c:dLbls>
          <c:showLegendKey val="0"/>
          <c:showVal val="0"/>
          <c:showCatName val="0"/>
          <c:showSerName val="0"/>
          <c:showPercent val="0"/>
          <c:showBubbleSize val="0"/>
        </c:dLbls>
        <c:gapWidth val="182"/>
        <c:axId val="130179456"/>
        <c:axId val="130180992"/>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TIC!$C$120:$E$121</c15:sqref>
                        </c15:formulaRef>
                      </c:ext>
                    </c:extLst>
                    <c:strCache>
                      <c:ptCount val="2"/>
                      <c:pt idx="0">
                        <c:v>Porcentaje de implementación</c:v>
                      </c:pt>
                      <c:pt idx="1">
                        <c:v>Equivalente 1/100</c:v>
                      </c:pt>
                    </c:strCache>
                  </c:strRef>
                </c:cat>
                <c:val>
                  <c:numRef>
                    <c:extLst xmlns:c16r2="http://schemas.microsoft.com/office/drawing/2015/06/chart">
                      <c:ext uri="{02D57815-91ED-43cb-92C2-25804820EDAC}">
                        <c15:formulaRef>
                          <c15:sqref>TIC!$D$120</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5-0E33-4874-9CB8-7A7909FAD06D}"/>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TIC!$C$120:$E$121</c15:sqref>
                        </c15:formulaRef>
                      </c:ext>
                    </c:extLst>
                    <c:strCache>
                      <c:ptCount val="2"/>
                      <c:pt idx="0">
                        <c:v>Porcentaje de implementación</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TIC!$E$120</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6-0E33-4874-9CB8-7A7909FAD06D}"/>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TIC!$C$120:$E$121</c15:sqref>
                        </c15:formulaRef>
                      </c:ext>
                    </c:extLst>
                    <c:strCache>
                      <c:ptCount val="2"/>
                      <c:pt idx="0">
                        <c:v>Porcentaje de implementación</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TIC!$F$120</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7-0E33-4874-9CB8-7A7909FAD06D}"/>
                  </c:ext>
                </c:extLst>
              </c15:ser>
            </c15:filteredBarSeries>
          </c:ext>
        </c:extLst>
      </c:barChart>
      <c:catAx>
        <c:axId val="1301794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0180992"/>
        <c:crosses val="autoZero"/>
        <c:auto val="1"/>
        <c:lblAlgn val="ctr"/>
        <c:lblOffset val="100"/>
        <c:noMultiLvlLbl val="0"/>
      </c:catAx>
      <c:valAx>
        <c:axId val="130180992"/>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017945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lang="es-ES" sz="1400" b="1" i="0" u="none" strike="noStrike" kern="1200" spc="0" baseline="0">
                <a:solidFill>
                  <a:srgbClr val="4472C4">
                    <a:lumMod val="75000"/>
                  </a:srgbClr>
                </a:solidFill>
                <a:latin typeface="Times New Roman" panose="02020603050405020304" pitchFamily="18" charset="0"/>
                <a:ea typeface="+mn-ea"/>
                <a:cs typeface="Times New Roman" panose="02020603050405020304" pitchFamily="18" charset="0"/>
              </a:defRPr>
            </a:pPr>
            <a:r>
              <a:rPr lang="es-ES" sz="1400" b="1" i="0" u="none" strike="noStrike" kern="1200" spc="0" baseline="0">
                <a:solidFill>
                  <a:schemeClr val="accent1">
                    <a:lumMod val="75000"/>
                  </a:schemeClr>
                </a:solidFill>
                <a:latin typeface="Times New Roman" panose="02020603050405020304" pitchFamily="18" charset="0"/>
                <a:cs typeface="Times New Roman" panose="02020603050405020304" pitchFamily="18" charset="0"/>
              </a:rPr>
              <a:t>Actualización de equipo y sistema operativo sede y opp</a:t>
            </a:r>
          </a:p>
          <a:p>
            <a:pPr marL="0" marR="0" lvl="0" indent="0" algn="ctr" defTabSz="914400" rtl="0" eaLnBrk="1" fontAlgn="auto" latinLnBrk="0" hangingPunct="1">
              <a:lnSpc>
                <a:spcPct val="100000"/>
              </a:lnSpc>
              <a:spcBef>
                <a:spcPts val="0"/>
              </a:spcBef>
              <a:spcAft>
                <a:spcPts val="0"/>
              </a:spcAft>
              <a:buClrTx/>
              <a:buSzTx/>
              <a:buFontTx/>
              <a:buNone/>
              <a:tabLst/>
              <a:defRPr lang="es-ES" sz="1400" b="1" i="0" u="none" strike="noStrike" kern="1200" spc="0" baseline="0">
                <a:solidFill>
                  <a:srgbClr val="4472C4">
                    <a:lumMod val="75000"/>
                  </a:srgbClr>
                </a:solidFill>
                <a:latin typeface="Times New Roman" panose="02020603050405020304" pitchFamily="18" charset="0"/>
                <a:ea typeface="+mn-ea"/>
                <a:cs typeface="Times New Roman" panose="02020603050405020304" pitchFamily="18" charset="0"/>
              </a:defRPr>
            </a:pPr>
            <a:endParaRPr lang="es-ES" sz="1400" b="1" i="0" u="none" strike="noStrike" kern="1200" spc="0" baseline="0">
              <a:solidFill>
                <a:schemeClr val="bg1"/>
              </a:solidFill>
              <a:latin typeface="Times New Roman" panose="02020603050405020304" pitchFamily="18" charset="0"/>
              <a:ea typeface="+mn-ea"/>
              <a:cs typeface="Times New Roman" panose="02020603050405020304" pitchFamily="18" charset="0"/>
            </a:endParaRPr>
          </a:p>
        </c:rich>
      </c:tx>
      <c:layout>
        <c:manualLayout>
          <c:xMode val="edge"/>
          <c:yMode val="edge"/>
          <c:x val="0.1444009366932994"/>
          <c:y val="3.8554226620934537E-2"/>
        </c:manualLayout>
      </c:layout>
      <c:overlay val="0"/>
      <c:spPr>
        <a:noFill/>
        <a:ln>
          <a:noFill/>
        </a:ln>
        <a:effectLst/>
      </c:spPr>
    </c:title>
    <c:autoTitleDeleted val="0"/>
    <c:plotArea>
      <c:layout/>
      <c:barChart>
        <c:barDir val="bar"/>
        <c:grouping val="clustered"/>
        <c:varyColors val="0"/>
        <c:ser>
          <c:idx val="3"/>
          <c:order val="0"/>
          <c:spPr>
            <a:solidFill>
              <a:schemeClr val="accent4"/>
            </a:solidFill>
            <a:ln>
              <a:noFill/>
            </a:ln>
            <a:effectLst/>
            <a:scene3d>
              <a:camera prst="orthographicFront"/>
              <a:lightRig rig="threePt" dir="t"/>
            </a:scene3d>
            <a:sp3d>
              <a:bevelT/>
              <a:bevelB/>
            </a:sp3d>
          </c:spPr>
          <c:invertIfNegative val="0"/>
          <c:dPt>
            <c:idx val="0"/>
            <c:invertIfNegative val="0"/>
            <c:bubble3D val="0"/>
            <c:spPr>
              <a:solidFill>
                <a:srgbClr val="92D050"/>
              </a:solidFill>
              <a:ln>
                <a:noFill/>
              </a:ln>
              <a:effectLst>
                <a:outerShdw blurRad="50800" dist="50800" dir="5400000" algn="ctr" rotWithShape="0">
                  <a:schemeClr val="accent6">
                    <a:lumMod val="50000"/>
                  </a:schemeClr>
                </a:outerShdw>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1-D879-428E-9D5B-6C5BC5CBAAAE}"/>
              </c:ext>
            </c:extLst>
          </c:dPt>
          <c:dPt>
            <c:idx val="1"/>
            <c:invertIfNegative val="0"/>
            <c:bubble3D val="0"/>
            <c:spPr>
              <a:solidFill>
                <a:schemeClr val="accent6">
                  <a:lumMod val="50000"/>
                </a:schemeClr>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3-D879-428E-9D5B-6C5BC5CBAAAE}"/>
              </c:ext>
            </c:extLst>
          </c:dPt>
          <c:cat>
            <c:strRef>
              <c:f>TIC!$C$120:$E$121</c:f>
              <c:strCache>
                <c:ptCount val="2"/>
                <c:pt idx="0">
                  <c:v>Porcentaje de implementación</c:v>
                </c:pt>
                <c:pt idx="1">
                  <c:v>Equivalente 1/100</c:v>
                </c:pt>
              </c:strCache>
            </c:strRef>
          </c:cat>
          <c:val>
            <c:numRef>
              <c:f>TIC!$G$120:$G$121</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4-D879-428E-9D5B-6C5BC5CBAAAE}"/>
            </c:ext>
          </c:extLst>
        </c:ser>
        <c:dLbls>
          <c:showLegendKey val="0"/>
          <c:showVal val="0"/>
          <c:showCatName val="0"/>
          <c:showSerName val="0"/>
          <c:showPercent val="0"/>
          <c:showBubbleSize val="0"/>
        </c:dLbls>
        <c:gapWidth val="182"/>
        <c:axId val="130090880"/>
        <c:axId val="130092416"/>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TIC!$C$120:$E$121</c15:sqref>
                        </c15:formulaRef>
                      </c:ext>
                    </c:extLst>
                    <c:strCache>
                      <c:ptCount val="2"/>
                      <c:pt idx="0">
                        <c:v>Porcentaje de implementación</c:v>
                      </c:pt>
                      <c:pt idx="1">
                        <c:v>Equivalente 1/100</c:v>
                      </c:pt>
                    </c:strCache>
                  </c:strRef>
                </c:cat>
                <c:val>
                  <c:numRef>
                    <c:extLst xmlns:c16r2="http://schemas.microsoft.com/office/drawing/2015/06/chart">
                      <c:ext uri="{02D57815-91ED-43cb-92C2-25804820EDAC}">
                        <c15:formulaRef>
                          <c15:sqref>TIC!$D$120</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5-D879-428E-9D5B-6C5BC5CBAAAE}"/>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TIC!$C$120:$E$121</c15:sqref>
                        </c15:formulaRef>
                      </c:ext>
                    </c:extLst>
                    <c:strCache>
                      <c:ptCount val="2"/>
                      <c:pt idx="0">
                        <c:v>Porcentaje de implementación</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TIC!$E$120</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6-D879-428E-9D5B-6C5BC5CBAAAE}"/>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TIC!$C$120:$E$121</c15:sqref>
                        </c15:formulaRef>
                      </c:ext>
                    </c:extLst>
                    <c:strCache>
                      <c:ptCount val="2"/>
                      <c:pt idx="0">
                        <c:v>Porcentaje de implementación</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TIC!$F$120</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7-D879-428E-9D5B-6C5BC5CBAAAE}"/>
                  </c:ext>
                </c:extLst>
              </c15:ser>
            </c15:filteredBarSeries>
          </c:ext>
        </c:extLst>
      </c:barChart>
      <c:catAx>
        <c:axId val="1300908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0092416"/>
        <c:crosses val="autoZero"/>
        <c:auto val="1"/>
        <c:lblAlgn val="ctr"/>
        <c:lblOffset val="100"/>
        <c:noMultiLvlLbl val="0"/>
      </c:catAx>
      <c:valAx>
        <c:axId val="130092416"/>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009088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Elaboracion</a:t>
            </a:r>
            <a:r>
              <a:rPr lang="es-DO" b="1" baseline="0">
                <a:solidFill>
                  <a:schemeClr val="accent1">
                    <a:lumMod val="75000"/>
                  </a:schemeClr>
                </a:solidFill>
                <a:latin typeface="Times New Roman" panose="02020603050405020304" pitchFamily="18" charset="0"/>
                <a:cs typeface="Times New Roman" panose="02020603050405020304" pitchFamily="18" charset="0"/>
              </a:rPr>
              <a:t> y divulgación del boletin Institucional digital mensual.</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itle>
    <c:autoTitleDeleted val="0"/>
    <c:plotArea>
      <c:layout/>
      <c:barChart>
        <c:barDir val="bar"/>
        <c:grouping val="clustered"/>
        <c:varyColors val="0"/>
        <c:ser>
          <c:idx val="3"/>
          <c:order val="0"/>
          <c:spPr>
            <a:solidFill>
              <a:schemeClr val="accent4"/>
            </a:solidFill>
            <a:ln>
              <a:noFill/>
            </a:ln>
            <a:effectLst/>
          </c:spPr>
          <c:invertIfNegative val="0"/>
          <c:dPt>
            <c:idx val="0"/>
            <c:invertIfNegative val="0"/>
            <c:bubble3D val="0"/>
            <c:spPr>
              <a:solidFill>
                <a:srgbClr val="92D050"/>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F15E-411F-8CE9-1CB2204F0A45}"/>
              </c:ext>
            </c:extLst>
          </c:dPt>
          <c:dPt>
            <c:idx val="1"/>
            <c:invertIfNegative val="0"/>
            <c:bubble3D val="0"/>
            <c:spPr>
              <a:solidFill>
                <a:schemeClr val="accent6">
                  <a:lumMod val="50000"/>
                </a:schemeClr>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3-F15E-411F-8CE9-1CB2204F0A45}"/>
              </c:ext>
            </c:extLst>
          </c:dPt>
          <c:cat>
            <c:strRef>
              <c:f>Comunicaciones!$C$2:$F$3</c:f>
              <c:strCache>
                <c:ptCount val="2"/>
                <c:pt idx="0">
                  <c:v>Cantidad de Boletines</c:v>
                </c:pt>
                <c:pt idx="1">
                  <c:v>Equivalente 1/100</c:v>
                </c:pt>
              </c:strCache>
            </c:strRef>
          </c:cat>
          <c:val>
            <c:numRef>
              <c:f>Comunicaciones!$G$2:$G$3</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4-F15E-411F-8CE9-1CB2204F0A45}"/>
            </c:ext>
          </c:extLst>
        </c:ser>
        <c:dLbls>
          <c:showLegendKey val="0"/>
          <c:showVal val="0"/>
          <c:showCatName val="0"/>
          <c:showSerName val="0"/>
          <c:showPercent val="0"/>
          <c:showBubbleSize val="0"/>
        </c:dLbls>
        <c:gapWidth val="182"/>
        <c:axId val="130128512"/>
        <c:axId val="130138496"/>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Comunicaciones!$C$2:$F$3</c15:sqref>
                        </c15:formulaRef>
                      </c:ext>
                    </c:extLst>
                    <c:strCache>
                      <c:ptCount val="2"/>
                      <c:pt idx="0">
                        <c:v>Cantidad de Boletines</c:v>
                      </c:pt>
                      <c:pt idx="1">
                        <c:v>Equivalente 1/100</c:v>
                      </c:pt>
                    </c:strCache>
                  </c:strRef>
                </c:cat>
                <c:val>
                  <c:numRef>
                    <c:extLst xmlns:c16r2="http://schemas.microsoft.com/office/drawing/2015/06/chart">
                      <c:ext uri="{02D57815-91ED-43cb-92C2-25804820EDAC}">
                        <c15:formulaRef>
                          <c15:sqref>Comunicaciones!$D$2</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5-F15E-411F-8CE9-1CB2204F0A45}"/>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Comunicaciones!$C$2:$F$3</c15:sqref>
                        </c15:formulaRef>
                      </c:ext>
                    </c:extLst>
                    <c:strCache>
                      <c:ptCount val="2"/>
                      <c:pt idx="0">
                        <c:v>Cantidad de Boletines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Comunicaciones!$E$2</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6-F15E-411F-8CE9-1CB2204F0A45}"/>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Comunicaciones!$C$2:$F$3</c15:sqref>
                        </c15:formulaRef>
                      </c:ext>
                    </c:extLst>
                    <c:strCache>
                      <c:ptCount val="2"/>
                      <c:pt idx="0">
                        <c:v>Cantidad de Boletines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Comunicaciones!$F$2</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7-F15E-411F-8CE9-1CB2204F0A45}"/>
                  </c:ext>
                </c:extLst>
              </c15:ser>
            </c15:filteredBarSeries>
          </c:ext>
        </c:extLst>
      </c:barChart>
      <c:catAx>
        <c:axId val="1301285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0138496"/>
        <c:crosses val="autoZero"/>
        <c:auto val="1"/>
        <c:lblAlgn val="ctr"/>
        <c:lblOffset val="100"/>
        <c:noMultiLvlLbl val="0"/>
      </c:catAx>
      <c:valAx>
        <c:axId val="130138496"/>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0128512"/>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sq" cmpd="sng" algn="ctr">
      <a:solidFill>
        <a:schemeClr val="tx1">
          <a:lumMod val="15000"/>
          <a:lumOff val="85000"/>
        </a:schemeClr>
      </a:solidFill>
      <a:round/>
    </a:ln>
    <a:effectLst>
      <a:outerShdw blurRad="50800" dist="50800" dir="5400000" algn="ctr" rotWithShape="0">
        <a:srgbClr val="C0DEEC"/>
      </a:outerShdw>
    </a:effectLst>
  </c:spPr>
  <c:txPr>
    <a:bodyPr/>
    <a:lstStyle/>
    <a:p>
      <a:pPr>
        <a:defRPr/>
      </a:pPr>
      <a:endParaRPr lang="es-ES"/>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 Encuentro</a:t>
            </a:r>
            <a:r>
              <a:rPr lang="es-DO" b="1" baseline="0">
                <a:solidFill>
                  <a:schemeClr val="accent1">
                    <a:lumMod val="75000"/>
                  </a:schemeClr>
                </a:solidFill>
                <a:latin typeface="Times New Roman" panose="02020603050405020304" pitchFamily="18" charset="0"/>
                <a:cs typeface="Times New Roman" panose="02020603050405020304" pitchFamily="18" charset="0"/>
              </a:rPr>
              <a:t> con lideres de Opinión y Jefes de redacción</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bar"/>
        <c:grouping val="clustered"/>
        <c:varyColors val="0"/>
        <c:ser>
          <c:idx val="4"/>
          <c:order val="0"/>
          <c:spPr>
            <a:solidFill>
              <a:schemeClr val="accent5"/>
            </a:solidFill>
            <a:ln>
              <a:noFill/>
            </a:ln>
            <a:effectLst/>
            <a:scene3d>
              <a:camera prst="orthographicFront"/>
              <a:lightRig rig="threePt" dir="t"/>
            </a:scene3d>
            <a:sp3d>
              <a:bevelT/>
            </a:sp3d>
          </c:spPr>
          <c:invertIfNegative val="0"/>
          <c:dPt>
            <c:idx val="0"/>
            <c:invertIfNegative val="0"/>
            <c:bubble3D val="0"/>
            <c:spPr>
              <a:solidFill>
                <a:srgbClr val="92D050"/>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E9EE-4F2C-BF4B-0A856292408F}"/>
              </c:ext>
            </c:extLst>
          </c:dPt>
          <c:dPt>
            <c:idx val="1"/>
            <c:invertIfNegative val="0"/>
            <c:bubble3D val="0"/>
            <c:spPr>
              <a:solidFill>
                <a:schemeClr val="accent6">
                  <a:lumMod val="50000"/>
                </a:schemeClr>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3-E9EE-4F2C-BF4B-0A856292408F}"/>
              </c:ext>
            </c:extLst>
          </c:dPt>
          <c:cat>
            <c:strRef>
              <c:f>Comunicaciones!$C$19:$G$20</c:f>
              <c:strCache>
                <c:ptCount val="2"/>
                <c:pt idx="0">
                  <c:v> Cantidad de entrevistas</c:v>
                </c:pt>
                <c:pt idx="1">
                  <c:v>Equivalente 1/100</c:v>
                </c:pt>
              </c:strCache>
            </c:strRef>
          </c:cat>
          <c:val>
            <c:numRef>
              <c:f>Comunicaciones!$H$19:$H$20</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4-E9EE-4F2C-BF4B-0A856292408F}"/>
            </c:ext>
          </c:extLst>
        </c:ser>
        <c:dLbls>
          <c:showLegendKey val="0"/>
          <c:showVal val="0"/>
          <c:showCatName val="0"/>
          <c:showSerName val="0"/>
          <c:showPercent val="0"/>
          <c:showBubbleSize val="0"/>
        </c:dLbls>
        <c:gapWidth val="182"/>
        <c:axId val="131092480"/>
        <c:axId val="131094016"/>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Comunicaciones!$C$19:$G$20</c15:sqref>
                        </c15:formulaRef>
                      </c:ext>
                    </c:extLst>
                    <c:strCache>
                      <c:ptCount val="2"/>
                      <c:pt idx="0">
                        <c:v> Cantidad de entrevistas</c:v>
                      </c:pt>
                      <c:pt idx="1">
                        <c:v>Equivalente 1/100</c:v>
                      </c:pt>
                    </c:strCache>
                  </c:strRef>
                </c:cat>
                <c:val>
                  <c:numRef>
                    <c:extLst xmlns:c16r2="http://schemas.microsoft.com/office/drawing/2015/06/chart">
                      <c:ext uri="{02D57815-91ED-43cb-92C2-25804820EDAC}">
                        <c15:formulaRef>
                          <c15:sqref>Comunicaciones!$D$19</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5-E9EE-4F2C-BF4B-0A856292408F}"/>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Comunicaciones!$C$19:$G$20</c15:sqref>
                        </c15:formulaRef>
                      </c:ext>
                    </c:extLst>
                    <c:strCache>
                      <c:ptCount val="2"/>
                      <c:pt idx="0">
                        <c:v> Cantidad de entrevistas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Comunicaciones!$E$19</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6-E9EE-4F2C-BF4B-0A856292408F}"/>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Comunicaciones!$C$19:$G$20</c15:sqref>
                        </c15:formulaRef>
                      </c:ext>
                    </c:extLst>
                    <c:strCache>
                      <c:ptCount val="2"/>
                      <c:pt idx="0">
                        <c:v> Cantidad de entrevistas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Comunicaciones!$F$19</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7-E9EE-4F2C-BF4B-0A856292408F}"/>
                  </c:ext>
                </c:extLst>
              </c15:ser>
            </c15:filteredBarSeries>
            <c15:filteredBarSeries>
              <c15:ser>
                <c:idx val="3"/>
                <c:order val="3"/>
                <c:spPr>
                  <a:solidFill>
                    <a:schemeClr val="accent4"/>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Comunicaciones!$C$19:$G$20</c15:sqref>
                        </c15:formulaRef>
                      </c:ext>
                    </c:extLst>
                    <c:strCache>
                      <c:ptCount val="2"/>
                      <c:pt idx="0">
                        <c:v> Cantidad de entrevistas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Comunicaciones!$G$19</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8-E9EE-4F2C-BF4B-0A856292408F}"/>
                  </c:ext>
                </c:extLst>
              </c15:ser>
            </c15:filteredBarSeries>
          </c:ext>
        </c:extLst>
      </c:barChart>
      <c:catAx>
        <c:axId val="1310924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1094016"/>
        <c:crosses val="autoZero"/>
        <c:auto val="1"/>
        <c:lblAlgn val="ctr"/>
        <c:lblOffset val="100"/>
        <c:noMultiLvlLbl val="0"/>
      </c:catAx>
      <c:valAx>
        <c:axId val="131094016"/>
        <c:scaling>
          <c:orientation val="minMax"/>
          <c:max val="0.99990000000000001"/>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1092480"/>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300" b="1" baseline="0">
                <a:solidFill>
                  <a:schemeClr val="accent1">
                    <a:lumMod val="75000"/>
                  </a:schemeClr>
                </a:solidFill>
                <a:latin typeface="Times New Roman" panose="02020603050405020304" pitchFamily="18" charset="0"/>
                <a:cs typeface="Times New Roman" panose="02020603050405020304" pitchFamily="18" charset="0"/>
              </a:rPr>
              <a:t>Fortalecimiento y eficientización en el servicio de atención al ciudadano en la redes sociales y chat Intitucional</a:t>
            </a:r>
            <a:endParaRPr lang="es-DO" sz="1300"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2553271992937154"/>
          <c:y val="2.7280470083312837E-2"/>
        </c:manualLayout>
      </c:layout>
      <c:overlay val="0"/>
      <c:spPr>
        <a:noFill/>
        <a:ln>
          <a:noFill/>
        </a:ln>
        <a:effectLst/>
      </c:spPr>
    </c:title>
    <c:autoTitleDeleted val="0"/>
    <c:plotArea>
      <c:layout/>
      <c:barChart>
        <c:barDir val="bar"/>
        <c:grouping val="clustered"/>
        <c:varyColors val="0"/>
        <c:ser>
          <c:idx val="5"/>
          <c:order val="0"/>
          <c:spPr>
            <a:solidFill>
              <a:schemeClr val="accent6"/>
            </a:solidFill>
            <a:ln>
              <a:noFill/>
            </a:ln>
            <a:effectLst/>
            <a:scene3d>
              <a:camera prst="orthographicFront"/>
              <a:lightRig rig="threePt" dir="t"/>
            </a:scene3d>
            <a:sp3d>
              <a:bevelT/>
            </a:sp3d>
          </c:spPr>
          <c:invertIfNegative val="0"/>
          <c:dPt>
            <c:idx val="1"/>
            <c:invertIfNegative val="0"/>
            <c:bubble3D val="0"/>
            <c:spPr>
              <a:solidFill>
                <a:schemeClr val="accent6">
                  <a:lumMod val="50000"/>
                </a:schemeClr>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63C3-4E88-B43E-5504B54C4024}"/>
              </c:ext>
            </c:extLst>
          </c:dPt>
          <c:cat>
            <c:strRef>
              <c:f>Comunicaciones!$C$36:$H$37</c:f>
              <c:strCache>
                <c:ptCount val="2"/>
                <c:pt idx="0">
                  <c:v>Porcentaje de Cobertura</c:v>
                </c:pt>
                <c:pt idx="1">
                  <c:v>Equivalente 1/100</c:v>
                </c:pt>
              </c:strCache>
            </c:strRef>
          </c:cat>
          <c:val>
            <c:numRef>
              <c:f>Comunicaciones!$I$36:$I$37</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2-63C3-4E88-B43E-5504B54C4024}"/>
            </c:ext>
          </c:extLst>
        </c:ser>
        <c:dLbls>
          <c:showLegendKey val="0"/>
          <c:showVal val="0"/>
          <c:showCatName val="0"/>
          <c:showSerName val="0"/>
          <c:showPercent val="0"/>
          <c:showBubbleSize val="0"/>
        </c:dLbls>
        <c:gapWidth val="182"/>
        <c:axId val="131670400"/>
        <c:axId val="131671936"/>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Comunicaciones!$C$36:$H$37</c15:sqref>
                        </c15:formulaRef>
                      </c:ext>
                    </c:extLst>
                    <c:strCache>
                      <c:ptCount val="2"/>
                      <c:pt idx="0">
                        <c:v>Porcentaje de Cobertura</c:v>
                      </c:pt>
                      <c:pt idx="1">
                        <c:v>Equivalente 1/100</c:v>
                      </c:pt>
                    </c:strCache>
                  </c:strRef>
                </c:cat>
                <c:val>
                  <c:numRef>
                    <c:extLst xmlns:c16r2="http://schemas.microsoft.com/office/drawing/2015/06/chart">
                      <c:ext uri="{02D57815-91ED-43cb-92C2-25804820EDAC}">
                        <c15:formulaRef>
                          <c15:sqref>Comunicaciones!$D$36</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3-63C3-4E88-B43E-5504B54C4024}"/>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Comunicaciones!$C$36:$H$37</c15:sqref>
                        </c15:formulaRef>
                      </c:ext>
                    </c:extLst>
                    <c:strCache>
                      <c:ptCount val="2"/>
                      <c:pt idx="0">
                        <c:v>Porcentaje de Cobertura</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Comunicaciones!$E$36</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4-63C3-4E88-B43E-5504B54C4024}"/>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Comunicaciones!$C$36:$H$37</c15:sqref>
                        </c15:formulaRef>
                      </c:ext>
                    </c:extLst>
                    <c:strCache>
                      <c:ptCount val="2"/>
                      <c:pt idx="0">
                        <c:v>Porcentaje de Cobertura</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Comunicaciones!$F$36</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5-63C3-4E88-B43E-5504B54C4024}"/>
                  </c:ext>
                </c:extLst>
              </c15:ser>
            </c15:filteredBarSeries>
            <c15:filteredBarSeries>
              <c15:ser>
                <c:idx val="3"/>
                <c:order val="3"/>
                <c:spPr>
                  <a:solidFill>
                    <a:schemeClr val="accent4"/>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Comunicaciones!$C$36:$H$37</c15:sqref>
                        </c15:formulaRef>
                      </c:ext>
                    </c:extLst>
                    <c:strCache>
                      <c:ptCount val="2"/>
                      <c:pt idx="0">
                        <c:v>Porcentaje de Cobertura</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Comunicaciones!$G$36</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6-63C3-4E88-B43E-5504B54C4024}"/>
                  </c:ext>
                </c:extLst>
              </c15:ser>
            </c15:filteredBarSeries>
            <c15:filteredBarSeries>
              <c15:ser>
                <c:idx val="4"/>
                <c:order val="4"/>
                <c:spPr>
                  <a:solidFill>
                    <a:schemeClr val="accent5"/>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Comunicaciones!$C$36:$H$37</c15:sqref>
                        </c15:formulaRef>
                      </c:ext>
                    </c:extLst>
                    <c:strCache>
                      <c:ptCount val="2"/>
                      <c:pt idx="0">
                        <c:v>Porcentaje de Cobertura</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Comunicaciones!$H$36</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7-63C3-4E88-B43E-5504B54C4024}"/>
                  </c:ext>
                </c:extLst>
              </c15:ser>
            </c15:filteredBarSeries>
          </c:ext>
        </c:extLst>
      </c:barChart>
      <c:catAx>
        <c:axId val="1316704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1671936"/>
        <c:crosses val="autoZero"/>
        <c:auto val="1"/>
        <c:lblAlgn val="ctr"/>
        <c:lblOffset val="100"/>
        <c:noMultiLvlLbl val="0"/>
      </c:catAx>
      <c:valAx>
        <c:axId val="131671936"/>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1670400"/>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barChart>
        <c:barDir val="bar"/>
        <c:grouping val="clustered"/>
        <c:varyColors val="0"/>
        <c:ser>
          <c:idx val="7"/>
          <c:order val="0"/>
          <c:tx>
            <c:strRef>
              <c:f>'Emision Y Renovación'!$J$19</c:f>
              <c:strCache>
                <c:ptCount val="1"/>
              </c:strCache>
            </c:strRef>
          </c:tx>
          <c:spPr>
            <a:solidFill>
              <a:schemeClr val="accent2">
                <a:lumMod val="60000"/>
              </a:schemeClr>
            </a:solidFill>
            <a:ln>
              <a:noFill/>
            </a:ln>
            <a:effectLst/>
            <a:scene3d>
              <a:camera prst="orthographicFront"/>
              <a:lightRig rig="threePt" dir="t"/>
            </a:scene3d>
            <a:sp3d>
              <a:bevelT/>
              <a:bevelB/>
            </a:sp3d>
          </c:spPr>
          <c:invertIfNegative val="0"/>
          <c:dPt>
            <c:idx val="0"/>
            <c:invertIfNegative val="0"/>
            <c:bubble3D val="0"/>
            <c:spPr>
              <a:solidFill>
                <a:srgbClr val="92D050"/>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1-C429-42FE-B825-98740613E1F7}"/>
              </c:ext>
            </c:extLst>
          </c:dPt>
          <c:dPt>
            <c:idx val="1"/>
            <c:invertIfNegative val="0"/>
            <c:bubble3D val="0"/>
            <c:spPr>
              <a:solidFill>
                <a:srgbClr val="92D050"/>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3-C429-42FE-B825-98740613E1F7}"/>
              </c:ext>
            </c:extLst>
          </c:dPt>
          <c:dPt>
            <c:idx val="2"/>
            <c:invertIfNegative val="0"/>
            <c:bubble3D val="0"/>
            <c:spPr>
              <a:solidFill>
                <a:srgbClr val="92D050"/>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5-C429-42FE-B825-98740613E1F7}"/>
              </c:ext>
            </c:extLst>
          </c:dPt>
          <c:dPt>
            <c:idx val="3"/>
            <c:invertIfNegative val="0"/>
            <c:bubble3D val="0"/>
            <c:spPr>
              <a:solidFill>
                <a:srgbClr val="92D050"/>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7-C429-42FE-B825-98740613E1F7}"/>
              </c:ext>
            </c:extLst>
          </c:dPt>
          <c:dPt>
            <c:idx val="4"/>
            <c:invertIfNegative val="0"/>
            <c:bubble3D val="0"/>
            <c:spPr>
              <a:solidFill>
                <a:schemeClr val="accent6">
                  <a:lumMod val="50000"/>
                </a:schemeClr>
              </a:solidFill>
              <a:ln>
                <a:gradFill flip="none" rotWithShape="1">
                  <a:gsLst>
                    <a:gs pos="0">
                      <a:schemeClr val="accent6">
                        <a:lumMod val="89000"/>
                      </a:schemeClr>
                    </a:gs>
                    <a:gs pos="23000">
                      <a:schemeClr val="accent6">
                        <a:lumMod val="89000"/>
                      </a:schemeClr>
                    </a:gs>
                    <a:gs pos="69000">
                      <a:schemeClr val="accent6">
                        <a:lumMod val="75000"/>
                      </a:schemeClr>
                    </a:gs>
                    <a:gs pos="97000">
                      <a:schemeClr val="accent6">
                        <a:lumMod val="70000"/>
                      </a:schemeClr>
                    </a:gs>
                  </a:gsLst>
                  <a:path path="circle">
                    <a:fillToRect l="50000" t="50000" r="50000" b="50000"/>
                  </a:path>
                  <a:tileRect/>
                </a:grad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9-C429-42FE-B825-98740613E1F7}"/>
              </c:ext>
            </c:extLst>
          </c:dPt>
          <c:cat>
            <c:strRef>
              <c:f>'Emision Y Renovación'!$A$20:$B$24</c:f>
              <c:strCache>
                <c:ptCount val="5"/>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pt idx="3">
                  <c:v>Cantidad de reportes de insidencias de las Opp</c:v>
                </c:pt>
                <c:pt idx="4">
                  <c:v>Equivalente 1/100</c:v>
                </c:pt>
              </c:strCache>
            </c:strRef>
          </c:cat>
          <c:val>
            <c:numRef>
              <c:f>'Emision Y Renovación'!$J$20:$J$24</c:f>
              <c:numCache>
                <c:formatCode>0%</c:formatCode>
                <c:ptCount val="5"/>
                <c:pt idx="0">
                  <c:v>1</c:v>
                </c:pt>
                <c:pt idx="1">
                  <c:v>0.93</c:v>
                </c:pt>
                <c:pt idx="2">
                  <c:v>1</c:v>
                </c:pt>
                <c:pt idx="3">
                  <c:v>1</c:v>
                </c:pt>
                <c:pt idx="4">
                  <c:v>1</c:v>
                </c:pt>
              </c:numCache>
            </c:numRef>
          </c:val>
          <c:extLst xmlns:c16r2="http://schemas.microsoft.com/office/drawing/2015/06/chart">
            <c:ext xmlns:c16="http://schemas.microsoft.com/office/drawing/2014/chart" uri="{C3380CC4-5D6E-409C-BE32-E72D297353CC}">
              <c16:uniqueId val="{0000000A-C429-42FE-B825-98740613E1F7}"/>
            </c:ext>
          </c:extLst>
        </c:ser>
        <c:dLbls>
          <c:showLegendKey val="0"/>
          <c:showVal val="0"/>
          <c:showCatName val="0"/>
          <c:showSerName val="0"/>
          <c:showPercent val="0"/>
          <c:showBubbleSize val="0"/>
        </c:dLbls>
        <c:gapWidth val="182"/>
        <c:axId val="87792256"/>
        <c:axId val="87794048"/>
        <c:extLst xmlns:c16r2="http://schemas.microsoft.com/office/drawing/2015/06/chart">
          <c:ext xmlns:c15="http://schemas.microsoft.com/office/drawing/2012/chart" uri="{02D57815-91ED-43cb-92C2-25804820EDAC}">
            <c15:filteredBarSeries>
              <c15:ser>
                <c:idx val="0"/>
                <c:order val="0"/>
                <c:tx>
                  <c:strRef>
                    <c:extLst xmlns:c16r2="http://schemas.microsoft.com/office/drawing/2015/06/chart">
                      <c:ext uri="{02D57815-91ED-43cb-92C2-25804820EDAC}">
                        <c15:formulaRef>
                          <c15:sqref>'Emision Y Renovación'!$C$19</c15:sqref>
                        </c15:formulaRef>
                      </c:ext>
                    </c:extLst>
                    <c:strCache>
                      <c:ptCount val="1"/>
                    </c:strCache>
                  </c:strRef>
                </c:tx>
                <c:spPr>
                  <a:solidFill>
                    <a:schemeClr val="accent1"/>
                  </a:solidFill>
                  <a:ln>
                    <a:noFill/>
                  </a:ln>
                  <a:effectLst/>
                </c:spPr>
                <c:invertIfNegative val="0"/>
                <c:cat>
                  <c:strRef>
                    <c:extLst xmlns:c16r2="http://schemas.microsoft.com/office/drawing/2015/06/chart">
                      <c:ext uri="{02D57815-91ED-43cb-92C2-25804820EDAC}">
                        <c15:formulaRef>
                          <c15:sqref>'Emision Y Renovación'!$A$20:$B$24</c15:sqref>
                        </c15:formulaRef>
                      </c:ext>
                    </c:extLst>
                    <c:strCache>
                      <c:ptCount val="5"/>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pt idx="3">
                        <c:v>Cantidad de reportes de insidencias de las Opp</c:v>
                      </c:pt>
                      <c:pt idx="4">
                        <c:v>Equivalente 1/100</c:v>
                      </c:pt>
                    </c:strCache>
                  </c:strRef>
                </c:cat>
                <c:val>
                  <c:numRef>
                    <c:extLst xmlns:c16r2="http://schemas.microsoft.com/office/drawing/2015/06/chart">
                      <c:ext uri="{02D57815-91ED-43cb-92C2-25804820EDAC}">
                        <c15:formulaRef>
                          <c15:sqref>'Emision Y Renovación'!$C$20:$C$24</c15:sqref>
                        </c15:formulaRef>
                      </c:ext>
                    </c:extLst>
                    <c:numCache>
                      <c:formatCode>General</c:formatCode>
                      <c:ptCount val="5"/>
                    </c:numCache>
                  </c:numRef>
                </c:val>
                <c:extLst xmlns:c16r2="http://schemas.microsoft.com/office/drawing/2015/06/chart">
                  <c:ext xmlns:c16="http://schemas.microsoft.com/office/drawing/2014/chart" uri="{C3380CC4-5D6E-409C-BE32-E72D297353CC}">
                    <c16:uniqueId val="{0000000B-C429-42FE-B825-98740613E1F7}"/>
                  </c:ext>
                </c:extLst>
              </c15:ser>
            </c15:filteredBarSeries>
            <c15:filteredBarSeries>
              <c15:ser>
                <c:idx val="1"/>
                <c:order val="1"/>
                <c:tx>
                  <c:strRef>
                    <c:extLst xmlns:c15="http://schemas.microsoft.com/office/drawing/2012/chart" xmlns:c16r2="http://schemas.microsoft.com/office/drawing/2015/06/chart">
                      <c:ext xmlns:c15="http://schemas.microsoft.com/office/drawing/2012/chart" uri="{02D57815-91ED-43cb-92C2-25804820EDAC}">
                        <c15:formulaRef>
                          <c15:sqref>'Emision Y Renovación'!$D$19</c15:sqref>
                        </c15:formulaRef>
                      </c:ext>
                    </c:extLst>
                    <c:strCache>
                      <c:ptCount val="1"/>
                    </c:strCache>
                  </c:strRef>
                </c:tx>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'Emision Y Renovación'!$A$20:$B$24</c15:sqref>
                        </c15:formulaRef>
                      </c:ext>
                    </c:extLst>
                    <c:strCache>
                      <c:ptCount val="5"/>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pt idx="3">
                        <c:v>Cantidad de reportes de insidencias de las Opp</c:v>
                      </c:pt>
                      <c:pt idx="4">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'Emision Y Renovación'!$D$20:$D$24</c15:sqref>
                        </c15:formulaRef>
                      </c:ext>
                    </c:extLst>
                    <c:numCache>
                      <c:formatCode>General</c:formatCode>
                      <c:ptCount val="5"/>
                    </c:numCache>
                  </c:numRef>
                </c:val>
                <c:extLst xmlns:c15="http://schemas.microsoft.com/office/drawing/2012/chart" xmlns:c16r2="http://schemas.microsoft.com/office/drawing/2015/06/chart">
                  <c:ext xmlns:c16="http://schemas.microsoft.com/office/drawing/2014/chart" uri="{C3380CC4-5D6E-409C-BE32-E72D297353CC}">
                    <c16:uniqueId val="{0000000C-C429-42FE-B825-98740613E1F7}"/>
                  </c:ext>
                </c:extLst>
              </c15:ser>
            </c15:filteredBarSeries>
            <c15:filteredBarSeries>
              <c15:ser>
                <c:idx val="2"/>
                <c:order val="2"/>
                <c:tx>
                  <c:strRef>
                    <c:extLst xmlns:c15="http://schemas.microsoft.com/office/drawing/2012/chart" xmlns:c16r2="http://schemas.microsoft.com/office/drawing/2015/06/chart">
                      <c:ext xmlns:c15="http://schemas.microsoft.com/office/drawing/2012/chart" uri="{02D57815-91ED-43cb-92C2-25804820EDAC}">
                        <c15:formulaRef>
                          <c15:sqref>'Emision Y Renovación'!$E$19</c15:sqref>
                        </c15:formulaRef>
                      </c:ext>
                    </c:extLst>
                    <c:strCache>
                      <c:ptCount val="1"/>
                    </c:strCache>
                  </c:strRef>
                </c:tx>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'Emision Y Renovación'!$A$20:$B$24</c15:sqref>
                        </c15:formulaRef>
                      </c:ext>
                    </c:extLst>
                    <c:strCache>
                      <c:ptCount val="5"/>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pt idx="3">
                        <c:v>Cantidad de reportes de insidencias de las Opp</c:v>
                      </c:pt>
                      <c:pt idx="4">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'Emision Y Renovación'!$E$20:$E$24</c15:sqref>
                        </c15:formulaRef>
                      </c:ext>
                    </c:extLst>
                    <c:numCache>
                      <c:formatCode>General</c:formatCode>
                      <c:ptCount val="5"/>
                    </c:numCache>
                  </c:numRef>
                </c:val>
                <c:extLst xmlns:c15="http://schemas.microsoft.com/office/drawing/2012/chart" xmlns:c16r2="http://schemas.microsoft.com/office/drawing/2015/06/chart">
                  <c:ext xmlns:c16="http://schemas.microsoft.com/office/drawing/2014/chart" uri="{C3380CC4-5D6E-409C-BE32-E72D297353CC}">
                    <c16:uniqueId val="{0000000D-C429-42FE-B825-98740613E1F7}"/>
                  </c:ext>
                </c:extLst>
              </c15:ser>
            </c15:filteredBarSeries>
            <c15:filteredBarSeries>
              <c15:ser>
                <c:idx val="3"/>
                <c:order val="3"/>
                <c:tx>
                  <c:strRef>
                    <c:extLst xmlns:c15="http://schemas.microsoft.com/office/drawing/2012/chart" xmlns:c16r2="http://schemas.microsoft.com/office/drawing/2015/06/chart">
                      <c:ext xmlns:c15="http://schemas.microsoft.com/office/drawing/2012/chart" uri="{02D57815-91ED-43cb-92C2-25804820EDAC}">
                        <c15:formulaRef>
                          <c15:sqref>'Emision Y Renovación'!$F$19</c15:sqref>
                        </c15:formulaRef>
                      </c:ext>
                    </c:extLst>
                    <c:strCache>
                      <c:ptCount val="1"/>
                    </c:strCache>
                  </c:strRef>
                </c:tx>
                <c:spPr>
                  <a:solidFill>
                    <a:schemeClr val="accent4"/>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'Emision Y Renovación'!$A$20:$B$24</c15:sqref>
                        </c15:formulaRef>
                      </c:ext>
                    </c:extLst>
                    <c:strCache>
                      <c:ptCount val="5"/>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pt idx="3">
                        <c:v>Cantidad de reportes de insidencias de las Opp</c:v>
                      </c:pt>
                      <c:pt idx="4">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'Emision Y Renovación'!$F$20:$F$24</c15:sqref>
                        </c15:formulaRef>
                      </c:ext>
                    </c:extLst>
                    <c:numCache>
                      <c:formatCode>General</c:formatCode>
                      <c:ptCount val="5"/>
                    </c:numCache>
                  </c:numRef>
                </c:val>
                <c:extLst xmlns:c15="http://schemas.microsoft.com/office/drawing/2012/chart" xmlns:c16r2="http://schemas.microsoft.com/office/drawing/2015/06/chart">
                  <c:ext xmlns:c16="http://schemas.microsoft.com/office/drawing/2014/chart" uri="{C3380CC4-5D6E-409C-BE32-E72D297353CC}">
                    <c16:uniqueId val="{0000000E-C429-42FE-B825-98740613E1F7}"/>
                  </c:ext>
                </c:extLst>
              </c15:ser>
            </c15:filteredBarSeries>
            <c15:filteredBarSeries>
              <c15:ser>
                <c:idx val="4"/>
                <c:order val="4"/>
                <c:tx>
                  <c:strRef>
                    <c:extLst xmlns:c15="http://schemas.microsoft.com/office/drawing/2012/chart" xmlns:c16r2="http://schemas.microsoft.com/office/drawing/2015/06/chart">
                      <c:ext xmlns:c15="http://schemas.microsoft.com/office/drawing/2012/chart" uri="{02D57815-91ED-43cb-92C2-25804820EDAC}">
                        <c15:formulaRef>
                          <c15:sqref>'Emision Y Renovación'!$G$19</c15:sqref>
                        </c15:formulaRef>
                      </c:ext>
                    </c:extLst>
                    <c:strCache>
                      <c:ptCount val="1"/>
                    </c:strCache>
                  </c:strRef>
                </c:tx>
                <c:spPr>
                  <a:solidFill>
                    <a:schemeClr val="accent5"/>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'Emision Y Renovación'!$A$20:$B$24</c15:sqref>
                        </c15:formulaRef>
                      </c:ext>
                    </c:extLst>
                    <c:strCache>
                      <c:ptCount val="5"/>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pt idx="3">
                        <c:v>Cantidad de reportes de insidencias de las Opp</c:v>
                      </c:pt>
                      <c:pt idx="4">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'Emision Y Renovación'!$G$20:$G$24</c15:sqref>
                        </c15:formulaRef>
                      </c:ext>
                    </c:extLst>
                    <c:numCache>
                      <c:formatCode>General</c:formatCode>
                      <c:ptCount val="5"/>
                    </c:numCache>
                  </c:numRef>
                </c:val>
                <c:extLst xmlns:c15="http://schemas.microsoft.com/office/drawing/2012/chart" xmlns:c16r2="http://schemas.microsoft.com/office/drawing/2015/06/chart">
                  <c:ext xmlns:c16="http://schemas.microsoft.com/office/drawing/2014/chart" uri="{C3380CC4-5D6E-409C-BE32-E72D297353CC}">
                    <c16:uniqueId val="{0000000F-C429-42FE-B825-98740613E1F7}"/>
                  </c:ext>
                </c:extLst>
              </c15:ser>
            </c15:filteredBarSeries>
            <c15:filteredBarSeries>
              <c15:ser>
                <c:idx val="5"/>
                <c:order val="5"/>
                <c:tx>
                  <c:strRef>
                    <c:extLst xmlns:c15="http://schemas.microsoft.com/office/drawing/2012/chart" xmlns:c16r2="http://schemas.microsoft.com/office/drawing/2015/06/chart">
                      <c:ext xmlns:c15="http://schemas.microsoft.com/office/drawing/2012/chart" uri="{02D57815-91ED-43cb-92C2-25804820EDAC}">
                        <c15:formulaRef>
                          <c15:sqref>'Emision Y Renovación'!$H$19</c15:sqref>
                        </c15:formulaRef>
                      </c:ext>
                    </c:extLst>
                    <c:strCache>
                      <c:ptCount val="1"/>
                    </c:strCache>
                  </c:strRef>
                </c:tx>
                <c:spPr>
                  <a:solidFill>
                    <a:schemeClr val="accent6"/>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'Emision Y Renovación'!$A$20:$B$24</c15:sqref>
                        </c15:formulaRef>
                      </c:ext>
                    </c:extLst>
                    <c:strCache>
                      <c:ptCount val="5"/>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pt idx="3">
                        <c:v>Cantidad de reportes de insidencias de las Opp</c:v>
                      </c:pt>
                      <c:pt idx="4">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'Emision Y Renovación'!$H$20:$H$24</c15:sqref>
                        </c15:formulaRef>
                      </c:ext>
                    </c:extLst>
                    <c:numCache>
                      <c:formatCode>General</c:formatCode>
                      <c:ptCount val="5"/>
                    </c:numCache>
                  </c:numRef>
                </c:val>
                <c:extLst xmlns:c15="http://schemas.microsoft.com/office/drawing/2012/chart" xmlns:c16r2="http://schemas.microsoft.com/office/drawing/2015/06/chart">
                  <c:ext xmlns:c16="http://schemas.microsoft.com/office/drawing/2014/chart" uri="{C3380CC4-5D6E-409C-BE32-E72D297353CC}">
                    <c16:uniqueId val="{00000010-C429-42FE-B825-98740613E1F7}"/>
                  </c:ext>
                </c:extLst>
              </c15:ser>
            </c15:filteredBarSeries>
            <c15:filteredBarSeries>
              <c15:ser>
                <c:idx val="6"/>
                <c:order val="6"/>
                <c:tx>
                  <c:strRef>
                    <c:extLst xmlns:c15="http://schemas.microsoft.com/office/drawing/2012/chart" xmlns:c16r2="http://schemas.microsoft.com/office/drawing/2015/06/chart">
                      <c:ext xmlns:c15="http://schemas.microsoft.com/office/drawing/2012/chart" uri="{02D57815-91ED-43cb-92C2-25804820EDAC}">
                        <c15:formulaRef>
                          <c15:sqref>'Emision Y Renovación'!$I$19</c15:sqref>
                        </c15:formulaRef>
                      </c:ext>
                    </c:extLst>
                    <c:strCache>
                      <c:ptCount val="1"/>
                    </c:strCache>
                  </c:strRef>
                </c:tx>
                <c:spPr>
                  <a:solidFill>
                    <a:schemeClr val="accent1">
                      <a:lumMod val="60000"/>
                    </a:schemeClr>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'Emision Y Renovación'!$A$20:$B$24</c15:sqref>
                        </c15:formulaRef>
                      </c:ext>
                    </c:extLst>
                    <c:strCache>
                      <c:ptCount val="5"/>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pt idx="3">
                        <c:v>Cantidad de reportes de insidencias de las Opp</c:v>
                      </c:pt>
                      <c:pt idx="4">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'Emision Y Renovación'!$I$20:$I$24</c15:sqref>
                        </c15:formulaRef>
                      </c:ext>
                    </c:extLst>
                    <c:numCache>
                      <c:formatCode>General</c:formatCode>
                      <c:ptCount val="5"/>
                    </c:numCache>
                  </c:numRef>
                </c:val>
                <c:extLst xmlns:c15="http://schemas.microsoft.com/office/drawing/2012/chart" xmlns:c16r2="http://schemas.microsoft.com/office/drawing/2015/06/chart">
                  <c:ext xmlns:c16="http://schemas.microsoft.com/office/drawing/2014/chart" uri="{C3380CC4-5D6E-409C-BE32-E72D297353CC}">
                    <c16:uniqueId val="{00000011-C429-42FE-B825-98740613E1F7}"/>
                  </c:ext>
                </c:extLst>
              </c15:ser>
            </c15:filteredBarSeries>
          </c:ext>
        </c:extLst>
      </c:barChart>
      <c:catAx>
        <c:axId val="877922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87794048"/>
        <c:crosses val="autoZero"/>
        <c:auto val="1"/>
        <c:lblAlgn val="ctr"/>
        <c:lblOffset val="100"/>
        <c:noMultiLvlLbl val="0"/>
      </c:catAx>
      <c:valAx>
        <c:axId val="87794048"/>
        <c:scaling>
          <c:orientation val="minMax"/>
          <c:max val="0.99990000000000001"/>
          <c:min val="-9.9999999999989068E-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200" b="1" baseline="0">
                    <a:solidFill>
                      <a:schemeClr val="accent1">
                        <a:lumMod val="75000"/>
                      </a:schemeClr>
                    </a:solidFill>
                    <a:latin typeface="Times New Roman" panose="02020603050405020304" pitchFamily="18" charset="0"/>
                    <a:cs typeface="Times New Roman" panose="02020603050405020304" pitchFamily="18" charset="0"/>
                  </a:rPr>
                  <a:t>Emisión del Documento de Viaje</a:t>
                </a:r>
                <a:endParaRPr lang="es-DO" sz="1200"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3290423488391086"/>
              <c:y val="3.4342968727210134E-2"/>
            </c:manualLayout>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87792256"/>
        <c:crosses val="autoZero"/>
        <c:crossBetween val="midCat"/>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mn-lt"/>
                <a:ea typeface="+mn-ea"/>
                <a:cs typeface="+mn-cs"/>
              </a:defRPr>
            </a:pPr>
            <a:r>
              <a:rPr lang="es-DO" b="1">
                <a:solidFill>
                  <a:schemeClr val="accent1">
                    <a:lumMod val="75000"/>
                  </a:schemeClr>
                </a:solidFill>
                <a:latin typeface="Times New Roman" panose="02020603050405020304" pitchFamily="18" charset="0"/>
                <a:cs typeface="Times New Roman" panose="02020603050405020304" pitchFamily="18" charset="0"/>
              </a:rPr>
              <a:t>Emisión de Certificaciones</a:t>
            </a:r>
          </a:p>
        </c:rich>
      </c:tx>
      <c:overlay val="0"/>
      <c:spPr>
        <a:noFill/>
        <a:ln>
          <a:noFill/>
        </a:ln>
        <a:effectLst/>
      </c:spPr>
    </c:title>
    <c:autoTitleDeleted val="0"/>
    <c:plotArea>
      <c:layout/>
      <c:barChart>
        <c:barDir val="bar"/>
        <c:grouping val="clustered"/>
        <c:varyColors val="0"/>
        <c:ser>
          <c:idx val="4"/>
          <c:order val="0"/>
          <c:spPr>
            <a:solidFill>
              <a:schemeClr val="accent5"/>
            </a:solidFill>
            <a:ln>
              <a:noFill/>
            </a:ln>
            <a:effectLst/>
            <a:scene3d>
              <a:camera prst="orthographicFront"/>
              <a:lightRig rig="threePt" dir="t"/>
            </a:scene3d>
            <a:sp3d>
              <a:bevelT/>
            </a:sp3d>
          </c:spPr>
          <c:invertIfNegative val="0"/>
          <c:dPt>
            <c:idx val="0"/>
            <c:invertIfNegative val="0"/>
            <c:bubble3D val="0"/>
            <c:spPr>
              <a:solidFill>
                <a:srgbClr val="92D050"/>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9E2D-4F5E-9A03-C989F9C7E4AF}"/>
              </c:ext>
            </c:extLst>
          </c:dPt>
          <c:dPt>
            <c:idx val="1"/>
            <c:invertIfNegative val="0"/>
            <c:bubble3D val="0"/>
            <c:spPr>
              <a:solidFill>
                <a:schemeClr val="accent6">
                  <a:lumMod val="50000"/>
                </a:schemeClr>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3-9E2D-4F5E-9A03-C989F9C7E4AF}"/>
              </c:ext>
            </c:extLst>
          </c:dPt>
          <c:cat>
            <c:strRef>
              <c:f>'Emision Y Renovación'!$B$61:$F$62</c:f>
              <c:strCache>
                <c:ptCount val="2"/>
                <c:pt idx="0">
                  <c:v>Porcentaje de certificaciones otorgadas acorde al procedimiento.</c:v>
                </c:pt>
                <c:pt idx="1">
                  <c:v>Equivalente 1/100</c:v>
                </c:pt>
              </c:strCache>
            </c:strRef>
          </c:cat>
          <c:val>
            <c:numRef>
              <c:f>'Emision Y Renovación'!$G$61:$G$62</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4-9E2D-4F5E-9A03-C989F9C7E4AF}"/>
            </c:ext>
          </c:extLst>
        </c:ser>
        <c:dLbls>
          <c:showLegendKey val="0"/>
          <c:showVal val="0"/>
          <c:showCatName val="0"/>
          <c:showSerName val="0"/>
          <c:showPercent val="0"/>
          <c:showBubbleSize val="0"/>
        </c:dLbls>
        <c:gapWidth val="182"/>
        <c:axId val="89694592"/>
        <c:axId val="89696128"/>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'Emision Y Renovación'!$B$61:$F$62</c15:sqref>
                        </c15:formulaRef>
                      </c:ext>
                    </c:extLst>
                    <c:strCache>
                      <c:ptCount val="2"/>
                      <c:pt idx="0">
                        <c:v>Porcentaje de certificaciones otorgadas acorde al procedimiento.</c:v>
                      </c:pt>
                      <c:pt idx="1">
                        <c:v>Equivalente 1/100</c:v>
                      </c:pt>
                    </c:strCache>
                  </c:strRef>
                </c:cat>
                <c:val>
                  <c:numRef>
                    <c:extLst xmlns:c16r2="http://schemas.microsoft.com/office/drawing/2015/06/chart">
                      <c:ext uri="{02D57815-91ED-43cb-92C2-25804820EDAC}">
                        <c15:formulaRef>
                          <c15:sqref>'Emision Y Renovación'!$C$61</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5-9E2D-4F5E-9A03-C989F9C7E4AF}"/>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'Emision Y Renovación'!$B$61:$F$62</c15:sqref>
                        </c15:formulaRef>
                      </c:ext>
                    </c:extLst>
                    <c:strCache>
                      <c:ptCount val="2"/>
                      <c:pt idx="0">
                        <c:v>Porcentaje de certificaciones otorgadas acorde al procedimiento.</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'Emision Y Renovación'!$D$61</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6-9E2D-4F5E-9A03-C989F9C7E4AF}"/>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'Emision Y Renovación'!$B$61:$F$62</c15:sqref>
                        </c15:formulaRef>
                      </c:ext>
                    </c:extLst>
                    <c:strCache>
                      <c:ptCount val="2"/>
                      <c:pt idx="0">
                        <c:v>Porcentaje de certificaciones otorgadas acorde al procedimiento.</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'Emision Y Renovación'!$E$61</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7-9E2D-4F5E-9A03-C989F9C7E4AF}"/>
                  </c:ext>
                </c:extLst>
              </c15:ser>
            </c15:filteredBarSeries>
            <c15:filteredBarSeries>
              <c15:ser>
                <c:idx val="3"/>
                <c:order val="3"/>
                <c:spPr>
                  <a:solidFill>
                    <a:schemeClr val="accent4"/>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'Emision Y Renovación'!$B$61:$F$62</c15:sqref>
                        </c15:formulaRef>
                      </c:ext>
                    </c:extLst>
                    <c:strCache>
                      <c:ptCount val="2"/>
                      <c:pt idx="0">
                        <c:v>Porcentaje de certificaciones otorgadas acorde al procedimiento.</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'Emision Y Renovación'!$F$61</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8-9E2D-4F5E-9A03-C989F9C7E4AF}"/>
                  </c:ext>
                </c:extLst>
              </c15:ser>
            </c15:filteredBarSeries>
          </c:ext>
        </c:extLst>
      </c:barChart>
      <c:catAx>
        <c:axId val="896945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89696128"/>
        <c:crosses val="autoZero"/>
        <c:auto val="1"/>
        <c:lblAlgn val="ctr"/>
        <c:lblOffset val="100"/>
        <c:noMultiLvlLbl val="0"/>
      </c:catAx>
      <c:valAx>
        <c:axId val="89696128"/>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89694592"/>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Autentificación de Datos</a:t>
            </a:r>
          </a:p>
        </c:rich>
      </c:tx>
      <c:layout>
        <c:manualLayout>
          <c:xMode val="edge"/>
          <c:yMode val="edge"/>
          <c:x val="0.2583202293870695"/>
          <c:y val="9.7025299921518912E-2"/>
        </c:manualLayout>
      </c:layout>
      <c:overlay val="0"/>
      <c:spPr>
        <a:noFill/>
        <a:ln>
          <a:noFill/>
        </a:ln>
        <a:effectLst/>
      </c:spPr>
    </c:title>
    <c:autoTitleDeleted val="0"/>
    <c:plotArea>
      <c:layout/>
      <c:barChart>
        <c:barDir val="bar"/>
        <c:grouping val="clustered"/>
        <c:varyColors val="0"/>
        <c:ser>
          <c:idx val="3"/>
          <c:order val="0"/>
          <c:spPr>
            <a:solidFill>
              <a:schemeClr val="accent4"/>
            </a:solidFill>
            <a:ln>
              <a:noFill/>
            </a:ln>
            <a:effectLst/>
          </c:spPr>
          <c:invertIfNegative val="0"/>
          <c:dPt>
            <c:idx val="0"/>
            <c:invertIfNegative val="0"/>
            <c:bubble3D val="0"/>
            <c:spPr>
              <a:solidFill>
                <a:srgbClr val="92D050"/>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E6E2-4827-8958-821C42BC04F6}"/>
              </c:ext>
            </c:extLst>
          </c:dPt>
          <c:dPt>
            <c:idx val="1"/>
            <c:invertIfNegative val="0"/>
            <c:bubble3D val="0"/>
            <c:spPr>
              <a:solidFill>
                <a:schemeClr val="accent6">
                  <a:lumMod val="50000"/>
                </a:schemeClr>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3-E6E2-4827-8958-821C42BC04F6}"/>
              </c:ext>
            </c:extLst>
          </c:dPt>
          <c:cat>
            <c:strRef>
              <c:f>'Emision Y Renovación'!$B$46:$E$47</c:f>
              <c:strCache>
                <c:ptCount val="2"/>
                <c:pt idx="0">
                  <c:v>Porcentajes requerida por instituciones solicitantes.</c:v>
                </c:pt>
                <c:pt idx="1">
                  <c:v>Equivalente 1/100</c:v>
                </c:pt>
              </c:strCache>
            </c:strRef>
          </c:cat>
          <c:val>
            <c:numRef>
              <c:f>'Emision Y Renovación'!$F$46:$F$47</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4-E6E2-4827-8958-821C42BC04F6}"/>
            </c:ext>
          </c:extLst>
        </c:ser>
        <c:dLbls>
          <c:showLegendKey val="0"/>
          <c:showVal val="0"/>
          <c:showCatName val="0"/>
          <c:showSerName val="0"/>
          <c:showPercent val="0"/>
          <c:showBubbleSize val="0"/>
        </c:dLbls>
        <c:gapWidth val="182"/>
        <c:axId val="90023040"/>
        <c:axId val="90024576"/>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'Emision Y Renovación'!$B$46:$E$47</c15:sqref>
                        </c15:formulaRef>
                      </c:ext>
                    </c:extLst>
                    <c:strCache>
                      <c:ptCount val="2"/>
                      <c:pt idx="0">
                        <c:v>Porcentajes requerida por instituciones solicitantes.</c:v>
                      </c:pt>
                      <c:pt idx="1">
                        <c:v>Equivalente 1/100</c:v>
                      </c:pt>
                    </c:strCache>
                  </c:strRef>
                </c:cat>
                <c:val>
                  <c:numRef>
                    <c:extLst xmlns:c16r2="http://schemas.microsoft.com/office/drawing/2015/06/chart">
                      <c:ext uri="{02D57815-91ED-43cb-92C2-25804820EDAC}">
                        <c15:formulaRef>
                          <c15:sqref>'Emision Y Renovación'!$C$46</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5-E6E2-4827-8958-821C42BC04F6}"/>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'Emision Y Renovación'!$B$46:$E$47</c15:sqref>
                        </c15:formulaRef>
                      </c:ext>
                    </c:extLst>
                    <c:strCache>
                      <c:ptCount val="2"/>
                      <c:pt idx="0">
                        <c:v>Porcentajes requerida por instituciones solicitantes.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'Emision Y Renovación'!$D$46</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6-E6E2-4827-8958-821C42BC04F6}"/>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'Emision Y Renovación'!$B$46:$E$47</c15:sqref>
                        </c15:formulaRef>
                      </c:ext>
                    </c:extLst>
                    <c:strCache>
                      <c:ptCount val="2"/>
                      <c:pt idx="0">
                        <c:v>Porcentajes requerida por instituciones solicitantes.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'Emision Y Renovación'!$E$46</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7-E6E2-4827-8958-821C42BC04F6}"/>
                  </c:ext>
                </c:extLst>
              </c15:ser>
            </c15:filteredBarSeries>
          </c:ext>
        </c:extLst>
      </c:barChart>
      <c:catAx>
        <c:axId val="900230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90024576"/>
        <c:crosses val="autoZero"/>
        <c:auto val="1"/>
        <c:lblAlgn val="ctr"/>
        <c:lblOffset val="100"/>
        <c:noMultiLvlLbl val="0"/>
      </c:catAx>
      <c:valAx>
        <c:axId val="90024576"/>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90023040"/>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Expansión</a:t>
            </a:r>
            <a:r>
              <a:rPr lang="es-DO" b="1" baseline="0">
                <a:solidFill>
                  <a:schemeClr val="accent1">
                    <a:lumMod val="75000"/>
                  </a:schemeClr>
                </a:solidFill>
                <a:latin typeface="Times New Roman" panose="02020603050405020304" pitchFamily="18" charset="0"/>
                <a:cs typeface="Times New Roman" panose="02020603050405020304" pitchFamily="18" charset="0"/>
              </a:rPr>
              <a:t> del servicio de solicitud y captura para la emisión del documento de viaje</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itle>
    <c:autoTitleDeleted val="0"/>
    <c:plotArea>
      <c:layout/>
      <c:barChart>
        <c:barDir val="bar"/>
        <c:grouping val="clustered"/>
        <c:varyColors val="0"/>
        <c:ser>
          <c:idx val="3"/>
          <c:order val="0"/>
          <c:spPr>
            <a:solidFill>
              <a:schemeClr val="accent4"/>
            </a:solidFill>
            <a:ln>
              <a:noFill/>
            </a:ln>
            <a:effectLst/>
          </c:spPr>
          <c:invertIfNegative val="0"/>
          <c:dPt>
            <c:idx val="0"/>
            <c:invertIfNegative val="0"/>
            <c:bubble3D val="0"/>
            <c:spPr>
              <a:solidFill>
                <a:srgbClr val="92D050"/>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ACCB-4983-A118-F7D8C9ADBD97}"/>
              </c:ext>
            </c:extLst>
          </c:dPt>
          <c:dPt>
            <c:idx val="1"/>
            <c:invertIfNegative val="0"/>
            <c:bubble3D val="0"/>
            <c:spPr>
              <a:solidFill>
                <a:schemeClr val="accent6">
                  <a:lumMod val="50000"/>
                </a:schemeClr>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3-ACCB-4983-A118-F7D8C9ADBD97}"/>
              </c:ext>
            </c:extLst>
          </c:dPt>
          <c:cat>
            <c:strRef>
              <c:f>'Relaciones Consulares'!$C$2:$F$3</c:f>
              <c:strCache>
                <c:ptCount val="2"/>
                <c:pt idx="0">
                  <c:v>Cantidad de Centros Internacionales donde se solicita y captura el documento de viaje.</c:v>
                </c:pt>
                <c:pt idx="1">
                  <c:v>Equivalente 1/100</c:v>
                </c:pt>
              </c:strCache>
            </c:strRef>
          </c:cat>
          <c:val>
            <c:numRef>
              <c:f>'Relaciones Consulares'!$G$2:$G$3</c:f>
              <c:numCache>
                <c:formatCode>0%</c:formatCode>
                <c:ptCount val="2"/>
                <c:pt idx="0">
                  <c:v>1</c:v>
                </c:pt>
                <c:pt idx="1">
                  <c:v>1</c:v>
                </c:pt>
              </c:numCache>
            </c:numRef>
          </c:val>
          <c:extLst xmlns:c16r2="http://schemas.microsoft.com/office/drawing/2015/06/chart">
            <c:ext xmlns:c16="http://schemas.microsoft.com/office/drawing/2014/chart" uri="{C3380CC4-5D6E-409C-BE32-E72D297353CC}">
              <c16:uniqueId val="{00000004-ACCB-4983-A118-F7D8C9ADBD97}"/>
            </c:ext>
          </c:extLst>
        </c:ser>
        <c:dLbls>
          <c:showLegendKey val="0"/>
          <c:showVal val="0"/>
          <c:showCatName val="0"/>
          <c:showSerName val="0"/>
          <c:showPercent val="0"/>
          <c:showBubbleSize val="0"/>
        </c:dLbls>
        <c:gapWidth val="182"/>
        <c:axId val="89926272"/>
        <c:axId val="89940352"/>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'Relaciones Consulares'!$C$2:$F$3</c15:sqref>
                        </c15:formulaRef>
                      </c:ext>
                    </c:extLst>
                    <c:strCache>
                      <c:ptCount val="2"/>
                      <c:pt idx="0">
                        <c:v>Cantidad de Centros Internacionales donde se solicita y captura el documento de viaje.</c:v>
                      </c:pt>
                      <c:pt idx="1">
                        <c:v>Equivalente 1/100</c:v>
                      </c:pt>
                    </c:strCache>
                  </c:strRef>
                </c:cat>
                <c:val>
                  <c:numRef>
                    <c:extLst xmlns:c16r2="http://schemas.microsoft.com/office/drawing/2015/06/chart">
                      <c:ext uri="{02D57815-91ED-43cb-92C2-25804820EDAC}">
                        <c15:formulaRef>
                          <c15:sqref>'Relaciones Consulares'!$D$2</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5-ACCB-4983-A118-F7D8C9ADBD97}"/>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'Relaciones Consulares'!$C$2:$F$3</c15:sqref>
                        </c15:formulaRef>
                      </c:ext>
                    </c:extLst>
                    <c:strCache>
                      <c:ptCount val="2"/>
                      <c:pt idx="0">
                        <c:v>Cantidad de Centros Internacionales donde se solicita y captura el documento de viaje.</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'Relaciones Consulares'!$E$2</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6-ACCB-4983-A118-F7D8C9ADBD97}"/>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'Relaciones Consulares'!$C$2:$F$3</c15:sqref>
                        </c15:formulaRef>
                      </c:ext>
                    </c:extLst>
                    <c:strCache>
                      <c:ptCount val="2"/>
                      <c:pt idx="0">
                        <c:v>Cantidad de Centros Internacionales donde se solicita y captura el documento de viaje.</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'Relaciones Consulares'!$F$2</c15:sqref>
                        </c15:formulaRef>
                      </c:ext>
                    </c:extLst>
                    <c:numCache>
                      <c:formatCode>General</c:formatCode>
                      <c:ptCount val="1"/>
                    </c:numCache>
                  </c:numRef>
                </c:val>
                <c:extLst xmlns:c15="http://schemas.microsoft.com/office/drawing/2012/chart" xmlns:c16r2="http://schemas.microsoft.com/office/drawing/2015/06/chart">
                  <c:ext xmlns:c16="http://schemas.microsoft.com/office/drawing/2014/chart" uri="{C3380CC4-5D6E-409C-BE32-E72D297353CC}">
                    <c16:uniqueId val="{00000007-ACCB-4983-A118-F7D8C9ADBD97}"/>
                  </c:ext>
                </c:extLst>
              </c15:ser>
            </c15:filteredBarSeries>
          </c:ext>
        </c:extLst>
      </c:barChart>
      <c:catAx>
        <c:axId val="899262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89940352"/>
        <c:crosses val="autoZero"/>
        <c:auto val="1"/>
        <c:lblAlgn val="ctr"/>
        <c:lblOffset val="100"/>
        <c:noMultiLvlLbl val="0"/>
      </c:catAx>
      <c:valAx>
        <c:axId val="89940352"/>
        <c:scaling>
          <c:orientation val="minMax"/>
          <c:max val="0.99990000000000001"/>
          <c:min val="-9.9999999999989176E-5"/>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89926272"/>
        <c:crosses val="autoZero"/>
        <c:crossBetween val="between"/>
        <c:minorUnit val="0.2"/>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Actualización</a:t>
            </a:r>
            <a:r>
              <a:rPr lang="es-DO" b="1" baseline="0">
                <a:solidFill>
                  <a:schemeClr val="accent1">
                    <a:lumMod val="75000"/>
                  </a:schemeClr>
                </a:solidFill>
                <a:latin typeface="Times New Roman" panose="02020603050405020304" pitchFamily="18" charset="0"/>
                <a:cs typeface="Times New Roman" panose="02020603050405020304" pitchFamily="18" charset="0"/>
              </a:rPr>
              <a:t> de Instructivo de Supervisión de las Oficinas Pronvinciales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itle>
    <c:autoTitleDeleted val="0"/>
    <c:plotArea>
      <c:layout/>
      <c:barChart>
        <c:barDir val="bar"/>
        <c:grouping val="clustered"/>
        <c:varyColors val="0"/>
        <c:ser>
          <c:idx val="3"/>
          <c:order val="0"/>
          <c:spPr>
            <a:solidFill>
              <a:schemeClr val="accent4"/>
            </a:solidFill>
            <a:ln>
              <a:noFill/>
            </a:ln>
            <a:effectLst/>
          </c:spPr>
          <c:invertIfNegative val="0"/>
          <c:dPt>
            <c:idx val="0"/>
            <c:invertIfNegative val="0"/>
            <c:bubble3D val="0"/>
            <c:spPr>
              <a:solidFill>
                <a:srgbClr val="FFFF00"/>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CEEF-4871-BA3A-BC73E2B09E55}"/>
              </c:ext>
            </c:extLst>
          </c:dPt>
          <c:dPt>
            <c:idx val="1"/>
            <c:invertIfNegative val="0"/>
            <c:bubble3D val="0"/>
            <c:spPr>
              <a:solidFill>
                <a:schemeClr val="accent6">
                  <a:lumMod val="50000"/>
                </a:schemeClr>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3-CEEF-4871-BA3A-BC73E2B09E55}"/>
              </c:ext>
            </c:extLst>
          </c:dPt>
          <c:cat>
            <c:strRef>
              <c:f>'Supervisión y control G'!$C$2:$C$3</c:f>
              <c:strCache>
                <c:ptCount val="2"/>
                <c:pt idx="0">
                  <c:v>Cantidad de manuales actualizados</c:v>
                </c:pt>
                <c:pt idx="1">
                  <c:v>Equivalente 1/100</c:v>
                </c:pt>
              </c:strCache>
            </c:strRef>
          </c:cat>
          <c:val>
            <c:numRef>
              <c:f>'Supervisión y control G'!$G$2:$G$3</c:f>
              <c:numCache>
                <c:formatCode>0%</c:formatCode>
                <c:ptCount val="2"/>
                <c:pt idx="0">
                  <c:v>0.75</c:v>
                </c:pt>
                <c:pt idx="1">
                  <c:v>1</c:v>
                </c:pt>
              </c:numCache>
            </c:numRef>
          </c:val>
          <c:extLst xmlns:c16r2="http://schemas.microsoft.com/office/drawing/2015/06/chart">
            <c:ext xmlns:c16="http://schemas.microsoft.com/office/drawing/2014/chart" uri="{C3380CC4-5D6E-409C-BE32-E72D297353CC}">
              <c16:uniqueId val="{00000004-CEEF-4871-BA3A-BC73E2B09E55}"/>
            </c:ext>
          </c:extLst>
        </c:ser>
        <c:dLbls>
          <c:showLegendKey val="0"/>
          <c:showVal val="0"/>
          <c:showCatName val="0"/>
          <c:showSerName val="0"/>
          <c:showPercent val="0"/>
          <c:showBubbleSize val="0"/>
        </c:dLbls>
        <c:gapWidth val="182"/>
        <c:axId val="89927680"/>
        <c:axId val="89929216"/>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'Supervisión y control G'!$C$2:$C$3</c15:sqref>
                        </c15:formulaRef>
                      </c:ext>
                    </c:extLst>
                    <c:strCache>
                      <c:ptCount val="2"/>
                      <c:pt idx="0">
                        <c:v>Cantidad de manuales actualizados</c:v>
                      </c:pt>
                      <c:pt idx="1">
                        <c:v>Equivalente 1/100</c:v>
                      </c:pt>
                    </c:strCache>
                  </c:strRef>
                </c:cat>
                <c:val>
                  <c:numRef>
                    <c:extLst xmlns:c16r2="http://schemas.microsoft.com/office/drawing/2015/06/chart">
                      <c:ext uri="{02D57815-91ED-43cb-92C2-25804820EDAC}">
                        <c15:formulaRef>
                          <c15:sqref>'Supervisión y control G'!$D$2:$D$3</c15:sqref>
                        </c15:formulaRef>
                      </c:ext>
                    </c:extLst>
                    <c:numCache>
                      <c:formatCode>General</c:formatCode>
                      <c:ptCount val="2"/>
                    </c:numCache>
                  </c:numRef>
                </c:val>
                <c:extLst xmlns:c16r2="http://schemas.microsoft.com/office/drawing/2015/06/chart">
                  <c:ext xmlns:c16="http://schemas.microsoft.com/office/drawing/2014/chart" uri="{C3380CC4-5D6E-409C-BE32-E72D297353CC}">
                    <c16:uniqueId val="{00000005-CEEF-4871-BA3A-BC73E2B09E55}"/>
                  </c:ext>
                </c:extLst>
              </c15:ser>
            </c15:filteredBarSeries>
            <c15:filteredBarSeries>
              <c15:ser>
                <c:idx val="1"/>
                <c:order val="1"/>
                <c:spPr>
                  <a:solidFill>
                    <a:schemeClr val="accent2"/>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'Supervisión y control G'!$C$2:$C$3</c15:sqref>
                        </c15:formulaRef>
                      </c:ext>
                    </c:extLst>
                    <c:strCache>
                      <c:ptCount val="2"/>
                      <c:pt idx="0">
                        <c:v>Cantidad de manuales actualizados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'Supervisión y control G'!$E$2:$E$3</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6-CEEF-4871-BA3A-BC73E2B09E55}"/>
                  </c:ext>
                </c:extLst>
              </c15:ser>
            </c15:filteredBarSeries>
            <c15:filteredBarSeries>
              <c15:ser>
                <c:idx val="2"/>
                <c:order val="2"/>
                <c:spPr>
                  <a:solidFill>
                    <a:schemeClr val="accent3"/>
                  </a:solidFill>
                  <a:ln>
                    <a:noFill/>
                  </a:ln>
                  <a:effectLst/>
                </c:spPr>
                <c:invertIfNegative val="0"/>
                <c:cat>
                  <c:strRef>
                    <c:extLst xmlns:c15="http://schemas.microsoft.com/office/drawing/2012/chart" xmlns:c16r2="http://schemas.microsoft.com/office/drawing/2015/06/chart">
                      <c:ext xmlns:c15="http://schemas.microsoft.com/office/drawing/2012/chart" uri="{02D57815-91ED-43cb-92C2-25804820EDAC}">
                        <c15:formulaRef>
                          <c15:sqref>'Supervisión y control G'!$C$2:$C$3</c15:sqref>
                        </c15:formulaRef>
                      </c:ext>
                    </c:extLst>
                    <c:strCache>
                      <c:ptCount val="2"/>
                      <c:pt idx="0">
                        <c:v>Cantidad de manuales actualizados</c:v>
                      </c:pt>
                      <c:pt idx="1">
                        <c:v>Equivalente 1/100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'Supervisión y control G'!$F$2:$F$3</c15:sqref>
                        </c15:formulaRef>
                      </c:ext>
                    </c:extLst>
                    <c:numCache>
                      <c:formatCode>General</c:formatCode>
                      <c:ptCount val="2"/>
                    </c:numCache>
                  </c:numRef>
                </c:val>
                <c:extLst xmlns:c15="http://schemas.microsoft.com/office/drawing/2012/chart" xmlns:c16r2="http://schemas.microsoft.com/office/drawing/2015/06/chart">
                  <c:ext xmlns:c16="http://schemas.microsoft.com/office/drawing/2014/chart" uri="{C3380CC4-5D6E-409C-BE32-E72D297353CC}">
                    <c16:uniqueId val="{00000007-CEEF-4871-BA3A-BC73E2B09E55}"/>
                  </c:ext>
                </c:extLst>
              </c15:ser>
            </c15:filteredBarSeries>
          </c:ext>
        </c:extLst>
      </c:barChart>
      <c:catAx>
        <c:axId val="899276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89929216"/>
        <c:crosses val="autoZero"/>
        <c:auto val="1"/>
        <c:lblAlgn val="ctr"/>
        <c:lblOffset val="100"/>
        <c:noMultiLvlLbl val="0"/>
      </c:catAx>
      <c:valAx>
        <c:axId val="89929216"/>
        <c:scaling>
          <c:orientation val="minMax"/>
          <c:max val="0.99990000000000001"/>
          <c:min val="-9.9999999999989176E-5"/>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89927680"/>
        <c:crosses val="autoZero"/>
        <c:crossBetween val="between"/>
        <c:majorUnit val="0.1"/>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dTable>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a:noFill/>
        </a:ln>
        <a:effectLst/>
      </c:spPr>
    </c:plotArea>
    <c:plotVisOnly val="1"/>
    <c:dispBlanksAs val="gap"/>
    <c:showDLblsOverMax val="0"/>
  </c:chart>
  <c:spPr>
    <a:gradFill>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52827C3CA4E6EB4BA493A2F1F4D0F13E" ma:contentTypeVersion="6" ma:contentTypeDescription="Crear nuevo documento." ma:contentTypeScope="" ma:versionID="4f1b3a7b6c96f1b0830a9a12152c8aaf">
  <xsd:schema xmlns:xsd="http://www.w3.org/2001/XMLSchema" xmlns:xs="http://www.w3.org/2001/XMLSchema" xmlns:p="http://schemas.microsoft.com/office/2006/metadata/properties" xmlns:ns3="f1b6361a-baa6-4efc-97b6-0d07d48c4f86" targetNamespace="http://schemas.microsoft.com/office/2006/metadata/properties" ma:root="true" ma:fieldsID="61907586b7f4145e561009a087a246ab" ns3:_="">
    <xsd:import namespace="f1b6361a-baa6-4efc-97b6-0d07d48c4f86"/>
    <xsd:element name="properties">
      <xsd:complexType>
        <xsd:sequence>
          <xsd:element name="documentManagement">
            <xsd:complexType>
              <xsd:all>
                <xsd:element ref="ns3:MediaServiceMetadata" minOccurs="0"/>
                <xsd:element ref="ns3:MediaServiceFastMetadata" minOccurs="0"/>
                <xsd:element ref="ns3:_activity" minOccurs="0"/>
                <xsd:element ref="ns3:MediaServiceDateTaken" minOccurs="0"/>
                <xsd:element ref="ns3:MediaServiceSearchPropertie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1b6361a-baa6-4efc-97b6-0d07d48c4f8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activity" ma:index="10" nillable="true" ma:displayName="_activity" ma:hidden="true" ma:internalName="_activity">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activity xmlns="f1b6361a-baa6-4efc-97b6-0d07d48c4f86"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07B92A-FCB4-4D8E-AEAA-62848D64055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1b6361a-baa6-4efc-97b6-0d07d48c4f8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7A524A8-0700-498A-8049-A866BC629113}">
  <ds:schemaRefs>
    <ds:schemaRef ds:uri="http://schemas.microsoft.com/office/2006/metadata/properties"/>
    <ds:schemaRef ds:uri="http://schemas.microsoft.com/office/infopath/2007/PartnerControls"/>
    <ds:schemaRef ds:uri="f1b6361a-baa6-4efc-97b6-0d07d48c4f86"/>
  </ds:schemaRefs>
</ds:datastoreItem>
</file>

<file path=customXml/itemProps3.xml><?xml version="1.0" encoding="utf-8"?>
<ds:datastoreItem xmlns:ds="http://schemas.openxmlformats.org/officeDocument/2006/customXml" ds:itemID="{DCD354EE-8F75-4730-AA75-A6C7FA45E211}">
  <ds:schemaRefs>
    <ds:schemaRef ds:uri="http://schemas.microsoft.com/sharepoint/v3/contenttype/forms"/>
  </ds:schemaRefs>
</ds:datastoreItem>
</file>

<file path=customXml/itemProps4.xml><?xml version="1.0" encoding="utf-8"?>
<ds:datastoreItem xmlns:ds="http://schemas.openxmlformats.org/officeDocument/2006/customXml" ds:itemID="{A81D44E7-29B9-48C1-8355-37AB1217E3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24</Pages>
  <Words>1707</Words>
  <Characters>9394</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Windows User</Company>
  <LinksUpToDate>false</LinksUpToDate>
  <CharactersWithSpaces>11079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Yuri</dc:creator>
  <cp:keywords/>
  <dc:description/>
  <cp:lastModifiedBy>Bethania Espinal</cp:lastModifiedBy>
  <cp:revision>6</cp:revision>
  <dcterms:created xsi:type="dcterms:W3CDTF">2025-01-15T13:01:00Z</dcterms:created>
  <dcterms:modified xsi:type="dcterms:W3CDTF">2025-01-15T16:05:00Z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0x01010052827C3CA4E6EB4BA493A2F1F4D0F13E</vt:lpwstr>
  </property>
</Properties>
</file>